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EBD1" w14:textId="77777777" w:rsidR="00D33749" w:rsidRDefault="00821027">
      <w:pPr>
        <w:jc w:val="right"/>
      </w:pPr>
      <w:r>
        <w:rPr>
          <w:b/>
        </w:rPr>
        <w:t>Smlouva o poskytnutí podpory</w:t>
      </w:r>
    </w:p>
    <w:p w14:paraId="517B9BFF" w14:textId="77777777" w:rsidR="00D33749" w:rsidRDefault="00D33749"/>
    <w:p w14:paraId="0E1C7535" w14:textId="77777777" w:rsidR="00D33749" w:rsidRDefault="00821027">
      <w:r>
        <w:t>Smluvní strany:</w:t>
      </w:r>
    </w:p>
    <w:p w14:paraId="74C9377C" w14:textId="77777777" w:rsidR="00D33749" w:rsidRDefault="00821027">
      <w:r>
        <w:rPr>
          <w:b/>
        </w:rPr>
        <w:t>Česká republika – Technologická agentura České republiky</w:t>
      </w:r>
    </w:p>
    <w:p w14:paraId="666289F4" w14:textId="77777777" w:rsidR="00D33749" w:rsidRDefault="00821027">
      <w:pPr>
        <w:spacing w:before="0"/>
      </w:pPr>
      <w:r>
        <w:t xml:space="preserve">se sídlem: </w:t>
      </w:r>
      <w:r>
        <w:rPr>
          <w:b/>
        </w:rPr>
        <w:t>Evropská 1692/37, 160 00 Praha 6</w:t>
      </w:r>
    </w:p>
    <w:p w14:paraId="6D5343DC" w14:textId="77777777" w:rsidR="00D33749" w:rsidRDefault="00821027">
      <w:pPr>
        <w:spacing w:before="0"/>
      </w:pPr>
      <w:r>
        <w:t xml:space="preserve">IČ: </w:t>
      </w:r>
      <w:r>
        <w:rPr>
          <w:b/>
        </w:rPr>
        <w:t>72050365</w:t>
      </w:r>
    </w:p>
    <w:p w14:paraId="2E5F302E" w14:textId="77777777" w:rsidR="00D33749" w:rsidRDefault="00821027">
      <w:pPr>
        <w:spacing w:before="0"/>
      </w:pPr>
      <w:r>
        <w:t>zastoupená Petrem Očkem</w:t>
      </w:r>
      <w:r>
        <w:rPr>
          <w:b/>
        </w:rPr>
        <w:t>., předsedou TA ČR</w:t>
      </w:r>
    </w:p>
    <w:p w14:paraId="14C825DC" w14:textId="77777777" w:rsidR="00D33749" w:rsidRDefault="00821027">
      <w:pPr>
        <w:spacing w:before="0"/>
      </w:pPr>
      <w:r>
        <w:t xml:space="preserve">bankovní spojení: </w:t>
      </w:r>
      <w:r>
        <w:rPr>
          <w:b/>
        </w:rPr>
        <w:t>Česká národní banka, Na Příkopě 28, Praha 1</w:t>
      </w:r>
    </w:p>
    <w:p w14:paraId="5D6137E5" w14:textId="77777777" w:rsidR="00D33749" w:rsidRDefault="00821027">
      <w:pPr>
        <w:spacing w:before="0"/>
      </w:pPr>
      <w:r>
        <w:t xml:space="preserve">běžný výdajový účet: </w:t>
      </w:r>
      <w:r>
        <w:rPr>
          <w:b/>
        </w:rPr>
        <w:t>000-3125001/0710</w:t>
      </w:r>
    </w:p>
    <w:p w14:paraId="75AA3743" w14:textId="77777777" w:rsidR="00D33749" w:rsidRDefault="00821027">
      <w:r>
        <w:t>(dále jen „poskytovatel“) na straně jedné</w:t>
      </w:r>
    </w:p>
    <w:p w14:paraId="1E16F4D6" w14:textId="77777777" w:rsidR="00D33749" w:rsidRDefault="00821027">
      <w:r>
        <w:t>a</w:t>
      </w:r>
    </w:p>
    <w:p w14:paraId="71BB7401" w14:textId="77777777" w:rsidR="00D33749" w:rsidRDefault="00821027">
      <w:r>
        <w:rPr>
          <w:b/>
        </w:rPr>
        <w:t>……………………………………………..</w:t>
      </w:r>
    </w:p>
    <w:p w14:paraId="3F5E4865" w14:textId="77777777" w:rsidR="00D33749" w:rsidRDefault="00821027">
      <w:pPr>
        <w:spacing w:before="0"/>
      </w:pPr>
      <w:r>
        <w:t>se sídlem: ……………………………..</w:t>
      </w:r>
    </w:p>
    <w:p w14:paraId="1F0C1240" w14:textId="77777777" w:rsidR="00D33749" w:rsidRDefault="00821027">
      <w:pPr>
        <w:spacing w:before="0"/>
      </w:pPr>
      <w:r>
        <w:rPr>
          <w:i/>
        </w:rPr>
        <w:t>zapsaná v (je-li relevantní – např. v obchodním či jiném rejstříku)</w:t>
      </w:r>
      <w:r>
        <w:t xml:space="preserve">  …………………………</w:t>
      </w:r>
    </w:p>
    <w:p w14:paraId="2D24E6A3" w14:textId="77777777" w:rsidR="00D33749" w:rsidRDefault="00821027">
      <w:pPr>
        <w:spacing w:before="0"/>
      </w:pPr>
      <w:r>
        <w:t>IČ: ………, DIČ: ……………..</w:t>
      </w:r>
    </w:p>
    <w:p w14:paraId="7BB0B654" w14:textId="77777777" w:rsidR="00D33749" w:rsidRDefault="00821027">
      <w:pPr>
        <w:spacing w:before="0"/>
      </w:pPr>
      <w:r>
        <w:t xml:space="preserve">zastoupená: …………………..   </w:t>
      </w:r>
    </w:p>
    <w:p w14:paraId="454FC0C8" w14:textId="77777777" w:rsidR="00D33749" w:rsidRDefault="00821027">
      <w:pPr>
        <w:spacing w:before="0"/>
      </w:pPr>
      <w:r>
        <w:t>bankovní spojení: …………………..</w:t>
      </w:r>
    </w:p>
    <w:p w14:paraId="1FA393B2" w14:textId="77777777" w:rsidR="00D33749" w:rsidRDefault="00821027">
      <w:pPr>
        <w:spacing w:before="0"/>
      </w:pPr>
      <w:r>
        <w:t>číslo účtu: ……………….</w:t>
      </w:r>
    </w:p>
    <w:p w14:paraId="6165E1BD" w14:textId="77777777" w:rsidR="00D33749" w:rsidRDefault="00821027">
      <w:r>
        <w:t>(dále jen „hlavní příjemce“) na straně druhé</w:t>
      </w:r>
    </w:p>
    <w:p w14:paraId="1C91F3D7" w14:textId="77777777" w:rsidR="00D33749" w:rsidRDefault="00821027">
      <w:r>
        <w:t>osoba zmocněná ke komunikaci (ARES) a úkonům prostřednictvím informačního systému poskytovatele : .............................................</w:t>
      </w:r>
    </w:p>
    <w:p w14:paraId="26445354" w14:textId="77777777" w:rsidR="00D33749" w:rsidRDefault="00821027">
      <w:r>
        <w:t>uzavřely níže uvedeného dne, měsíce a roku tuto</w:t>
      </w:r>
    </w:p>
    <w:p w14:paraId="263D774A" w14:textId="77777777" w:rsidR="00D33749" w:rsidRDefault="00821027">
      <w:pPr>
        <w:spacing w:before="360"/>
        <w:jc w:val="center"/>
      </w:pPr>
      <w:r>
        <w:rPr>
          <w:b/>
        </w:rPr>
        <w:t>Smlouvu o poskytnutí podpory</w:t>
      </w:r>
    </w:p>
    <w:p w14:paraId="1F160716" w14:textId="77777777" w:rsidR="00D33749" w:rsidRDefault="00821027">
      <w:pPr>
        <w:spacing w:line="240" w:lineRule="auto"/>
        <w:jc w:val="center"/>
      </w:pPr>
      <w:r>
        <w:t>(dále jen „Smlouva“)</w:t>
      </w:r>
    </w:p>
    <w:p w14:paraId="2B1A891F" w14:textId="77777777" w:rsidR="00D33749" w:rsidRDefault="00821027">
      <w:pPr>
        <w:spacing w:before="360"/>
        <w:jc w:val="center"/>
      </w:pPr>
      <w:r>
        <w:rPr>
          <w:b/>
        </w:rPr>
        <w:t>Preambule</w:t>
      </w:r>
    </w:p>
    <w:p w14:paraId="340B3198" w14:textId="77777777" w:rsidR="00D33749" w:rsidRDefault="00821027">
      <w:r>
        <w:t xml:space="preserve">Hlavním příjemcem podaná nabídka v rámci veřejné zakázky ve výzkumu, vývoji a inovacích podle §2, odst. 2), písm. e) zákona č. 130/2002Sb. v platném znění byla vybrána poskytovatelem postupem podle zákona o zadávání veřejných zakázek jako nejvhodnější řešení projektu č. </w:t>
      </w:r>
      <w:r>
        <w:rPr>
          <w:highlight w:val="yellow"/>
        </w:rPr>
        <w:t>XXXXX s názvem XXXXXX</w:t>
      </w:r>
      <w:r>
        <w:t xml:space="preserve"> formulovaného poskytovatelem v rámci zadávacího řízení. V souladu s § 9 ZPVV se na základě </w:t>
      </w:r>
      <w:r>
        <w:lastRenderedPageBreak/>
        <w:t>rozhodnutí o výběru nejvhodnější nabídky uzavírá tato Smlouva. Veškeré pojmy použité ve Smlouvě jsou definovány ve Všeobecných podmínkách a touto Smlouvou.</w:t>
      </w:r>
    </w:p>
    <w:p w14:paraId="2C7A6B10" w14:textId="77777777" w:rsidR="00D33749" w:rsidRDefault="00821027">
      <w:pPr>
        <w:spacing w:before="360"/>
        <w:jc w:val="center"/>
      </w:pPr>
      <w:r>
        <w:rPr>
          <w:b/>
        </w:rPr>
        <w:t>Článek 1</w:t>
      </w:r>
    </w:p>
    <w:p w14:paraId="6F6A0C4B" w14:textId="77777777" w:rsidR="00D33749" w:rsidRDefault="00821027">
      <w:pPr>
        <w:spacing w:before="360"/>
        <w:jc w:val="center"/>
      </w:pPr>
      <w:r>
        <w:rPr>
          <w:b/>
        </w:rPr>
        <w:t>Předmět smlouvy</w:t>
      </w:r>
    </w:p>
    <w:p w14:paraId="52667E06" w14:textId="77777777" w:rsidR="00D33749" w:rsidRDefault="00821027">
      <w:pPr>
        <w:numPr>
          <w:ilvl w:val="0"/>
          <w:numId w:val="5"/>
        </w:numPr>
        <w:ind w:left="425" w:hanging="425"/>
      </w:pPr>
      <w:r>
        <w:t>Předmětem Smlouvy je závazek poskytovatele poskytnout hlavnímu příjemci finanční podporu formou dotace pro úhradu plnění projektu veřejné zakázky ve výzkumu, vývoji a inovacích za účelem jejího využití na dosažení deklarovaných výsledků a cílů projektu a současně závazek hlavního příjemce použít tuto podporu a řešit projekt v souladu s pravidly poskytnutí podpory a přílohou Závazné parametry řešení projektu.</w:t>
      </w:r>
    </w:p>
    <w:p w14:paraId="40FD91DC" w14:textId="77777777" w:rsidR="00D33749" w:rsidRDefault="00821027">
      <w:pPr>
        <w:numPr>
          <w:ilvl w:val="0"/>
          <w:numId w:val="5"/>
        </w:numPr>
        <w:ind w:left="425" w:hanging="425"/>
      </w:pPr>
      <w:r>
        <w:t>Účelem podpory je dosažení stanovených cílů projektu, tj. cílů uvedených v příloze Závazné parametry řešení projektu.</w:t>
      </w:r>
    </w:p>
    <w:p w14:paraId="5AD16B0E" w14:textId="77777777" w:rsidR="00D33749" w:rsidRDefault="00821027">
      <w:pPr>
        <w:spacing w:before="360"/>
        <w:jc w:val="center"/>
      </w:pPr>
      <w:r>
        <w:rPr>
          <w:b/>
        </w:rPr>
        <w:t>Článek 2</w:t>
      </w:r>
    </w:p>
    <w:p w14:paraId="2F04D287" w14:textId="77777777" w:rsidR="00D33749" w:rsidRDefault="00821027">
      <w:pPr>
        <w:spacing w:before="360"/>
        <w:jc w:val="center"/>
      </w:pPr>
      <w:r>
        <w:rPr>
          <w:b/>
        </w:rPr>
        <w:t>Výše poskytnuté podpory a uznaných nákladů</w:t>
      </w:r>
    </w:p>
    <w:p w14:paraId="670D41BC" w14:textId="77777777" w:rsidR="00D33749" w:rsidRDefault="00821027">
      <w:pPr>
        <w:numPr>
          <w:ilvl w:val="0"/>
          <w:numId w:val="2"/>
        </w:numPr>
        <w:ind w:left="425" w:hanging="425"/>
      </w:pPr>
      <w:r>
        <w:t xml:space="preserve">Maximální výše podpory činí </w:t>
      </w:r>
      <w:r>
        <w:rPr>
          <w:highlight w:val="yellow"/>
        </w:rPr>
        <w:t>X XXX</w:t>
      </w:r>
      <w:r>
        <w:t xml:space="preserve"> Kč (slovy: </w:t>
      </w:r>
      <w:r>
        <w:rPr>
          <w:highlight w:val="yellow"/>
        </w:rPr>
        <w:t>XXX</w:t>
      </w:r>
      <w:r>
        <w:t xml:space="preserve"> korun českých), což je </w:t>
      </w:r>
      <w:r>
        <w:rPr>
          <w:highlight w:val="yellow"/>
        </w:rPr>
        <w:t>XXX</w:t>
      </w:r>
      <w:r>
        <w:t xml:space="preserve"> % z maximální výše uznaných nákladů.</w:t>
      </w:r>
    </w:p>
    <w:p w14:paraId="029FA816" w14:textId="77777777" w:rsidR="00D33749" w:rsidRDefault="00821027">
      <w:pPr>
        <w:numPr>
          <w:ilvl w:val="0"/>
          <w:numId w:val="2"/>
        </w:numPr>
        <w:ind w:left="425" w:hanging="425"/>
      </w:pPr>
      <w:r>
        <w:t xml:space="preserve">Maximální výše uznaných nákladů projektu je stanovena ve výši </w:t>
      </w:r>
      <w:r>
        <w:rPr>
          <w:highlight w:val="yellow"/>
        </w:rPr>
        <w:t>X XXX</w:t>
      </w:r>
      <w:r>
        <w:rPr>
          <w:b/>
        </w:rPr>
        <w:t xml:space="preserve"> </w:t>
      </w:r>
      <w:r>
        <w:t xml:space="preserve">Kč (slovy: </w:t>
      </w:r>
      <w:r>
        <w:rPr>
          <w:highlight w:val="yellow"/>
        </w:rPr>
        <w:t>XXX</w:t>
      </w:r>
      <w:r>
        <w:t xml:space="preserve"> korun českých).</w:t>
      </w:r>
    </w:p>
    <w:p w14:paraId="41FFFEDA" w14:textId="77777777" w:rsidR="00D33749" w:rsidRDefault="00821027">
      <w:pPr>
        <w:spacing w:before="360"/>
        <w:jc w:val="center"/>
      </w:pPr>
      <w:bookmarkStart w:id="0" w:name="gjdgxs" w:colFirst="0" w:colLast="0"/>
      <w:bookmarkEnd w:id="0"/>
      <w:r>
        <w:rPr>
          <w:b/>
        </w:rPr>
        <w:t>Článek 3</w:t>
      </w:r>
    </w:p>
    <w:p w14:paraId="14E0C725" w14:textId="77777777" w:rsidR="00D33749" w:rsidRDefault="00821027">
      <w:pPr>
        <w:spacing w:before="360"/>
        <w:jc w:val="center"/>
      </w:pPr>
      <w:r>
        <w:rPr>
          <w:b/>
        </w:rPr>
        <w:t>Související dokumenty</w:t>
      </w:r>
    </w:p>
    <w:p w14:paraId="0E4487AC" w14:textId="77777777" w:rsidR="00D33749" w:rsidRDefault="00821027">
      <w:pPr>
        <w:numPr>
          <w:ilvl w:val="0"/>
          <w:numId w:val="1"/>
        </w:numPr>
        <w:ind w:left="425" w:hanging="425"/>
      </w:pPr>
      <w:r>
        <w:t xml:space="preserve">Nedílnou součástí Smlouvy je příloha </w:t>
      </w:r>
      <w:r>
        <w:rPr>
          <w:b/>
        </w:rPr>
        <w:t>Závazné parametry řešení projektu</w:t>
      </w:r>
      <w:r>
        <w:t xml:space="preserve">, které jsou schváleným návrhem projektu ve smyslu § 9 odst. 2 zákona č. 130/2002 Sb., o podpoře výzkumu, experimentálního vývoje a inovací z veřejných prostředků, a obsahují označení hlavního příjemce a dalších účastníků, název a předmět řešení projektu, jméno, příjmení a případné akademické tituly a vědecké hodnosti řešitele, časový plán řešení projektu, termín zahájení a ukončení řešení projektu, cíle projektu a požadované výsledky projektu včetně jejich stavu v každém kvartále řešení. Závazné parametry řešení projektu rovněž obsahují informaci o předpokládaném rozdělení způsobilých nákladů na jednotlivé kvartály včetně činností, členů řešitelského týmu a </w:t>
      </w:r>
      <w:r>
        <w:lastRenderedPageBreak/>
        <w:t xml:space="preserve">přímých nákladů k jednotlivým výsledkům, celková výše poskytované účelové podpory, včetně jejího rozdělení mezi hlavního příjemce a další účastníky projektu. </w:t>
      </w:r>
    </w:p>
    <w:p w14:paraId="761591EB" w14:textId="77777777" w:rsidR="00D33749" w:rsidRDefault="00821027">
      <w:pPr>
        <w:numPr>
          <w:ilvl w:val="0"/>
          <w:numId w:val="1"/>
        </w:numPr>
        <w:ind w:left="425" w:hanging="425"/>
      </w:pPr>
      <w:r>
        <w:t xml:space="preserve">Další podmínky poskytnutí podpory a řešení projektu jsou uvedeny ve Všeobecných podmínkách (verze </w:t>
      </w:r>
      <w:r>
        <w:rPr>
          <w:highlight w:val="yellow"/>
        </w:rPr>
        <w:t>X</w:t>
      </w:r>
      <w:r>
        <w:t>), které jsou dostupné na webových stránkách poskytovatele.</w:t>
      </w:r>
    </w:p>
    <w:p w14:paraId="348BECAB" w14:textId="77777777" w:rsidR="00D33749" w:rsidRDefault="00821027">
      <w:pPr>
        <w:numPr>
          <w:ilvl w:val="0"/>
          <w:numId w:val="1"/>
        </w:numPr>
        <w:ind w:left="425" w:hanging="425"/>
      </w:pPr>
      <w:r>
        <w:t>Obsahuje-li Smlouva úpravu odlišnou od Všeobecných podmínek či Závazných parametrů řešení projektu, použijí se přednostně ustanovení Smlouvy, dále ustanovení Všeobecných podmínek a dále Závazných parametrů řešení projektu.</w:t>
      </w:r>
    </w:p>
    <w:p w14:paraId="77031F2E" w14:textId="77777777" w:rsidR="00D33749" w:rsidRDefault="00821027">
      <w:pPr>
        <w:spacing w:before="360"/>
        <w:jc w:val="center"/>
      </w:pPr>
      <w:bookmarkStart w:id="1" w:name="30j0zll" w:colFirst="0" w:colLast="0"/>
      <w:bookmarkEnd w:id="1"/>
      <w:r>
        <w:rPr>
          <w:b/>
        </w:rPr>
        <w:t>Článek 4</w:t>
      </w:r>
    </w:p>
    <w:p w14:paraId="4DD0175B" w14:textId="77777777" w:rsidR="00D33749" w:rsidRDefault="00821027">
      <w:pPr>
        <w:spacing w:before="360"/>
        <w:jc w:val="center"/>
      </w:pPr>
      <w:bookmarkStart w:id="2" w:name="1fob9te" w:colFirst="0" w:colLast="0"/>
      <w:bookmarkEnd w:id="2"/>
      <w:r>
        <w:rPr>
          <w:b/>
        </w:rPr>
        <w:t>Specifické podmínky</w:t>
      </w:r>
    </w:p>
    <w:p w14:paraId="431CCA69" w14:textId="77777777" w:rsidR="00D33749" w:rsidRDefault="00821027">
      <w:pPr>
        <w:numPr>
          <w:ilvl w:val="0"/>
          <w:numId w:val="7"/>
        </w:numPr>
        <w:ind w:left="425" w:hanging="425"/>
      </w:pPr>
      <w:r>
        <w:t>Účelem tohoto článku je stanovit další podmínky, které jsou specifické pro výše uvedenou veřejnou soutěž/veřejnou zakázku, a to nad rámec Všeobecných podmínek a tyto mají přednost.</w:t>
      </w:r>
    </w:p>
    <w:p w14:paraId="428DFB81" w14:textId="77777777" w:rsidR="00D33749" w:rsidRDefault="00821027">
      <w:pPr>
        <w:numPr>
          <w:ilvl w:val="0"/>
          <w:numId w:val="7"/>
        </w:numPr>
        <w:ind w:left="425" w:hanging="425"/>
      </w:pPr>
      <w:r>
        <w:t>Článek 2 Všeobecných podmínek „Vymezení pojmů“ se doplňuje o tyto pojmy:</w:t>
      </w:r>
    </w:p>
    <w:p w14:paraId="5BF66A24" w14:textId="77777777" w:rsidR="00D33749" w:rsidRDefault="00821027">
      <w:pPr>
        <w:ind w:left="425"/>
      </w:pPr>
      <w:r>
        <w:rPr>
          <w:b/>
        </w:rPr>
        <w:t>„Informačním systémem BETA“</w:t>
      </w:r>
      <w:r>
        <w:t xml:space="preserve"> se rozumí Informační systém poskytovatele, který se skládá ze svou částí, Průvodce veřejnou zakázkou ve výzkumu, vývoji a inovacích a Informační systém realizace BETA (dále jen „ISRB“), přičemž Průvodce veřejnou zakázkou ve výzkumu, vývoji a inovacích je elektronický nástroj ve smyslu § 211 ZVZ, a Informační systém realizace BETA je elektronické prostředí, pro komunikaci příjemce, poskytovatele a dalších subjektů, které se podílejí na přípravě projektového rámce a řešení projektu.</w:t>
      </w:r>
    </w:p>
    <w:p w14:paraId="1752BE99" w14:textId="77777777" w:rsidR="00D33749" w:rsidRDefault="00D33749">
      <w:pPr>
        <w:ind w:left="425"/>
      </w:pPr>
    </w:p>
    <w:p w14:paraId="5C66AD0D" w14:textId="77777777" w:rsidR="00D33749" w:rsidRDefault="00821027">
      <w:pPr>
        <w:spacing w:before="0"/>
        <w:ind w:left="426"/>
        <w:jc w:val="left"/>
      </w:pPr>
      <w:r>
        <w:rPr>
          <w:b/>
        </w:rPr>
        <w:t>„Projektovým týmem“</w:t>
      </w:r>
      <w:r>
        <w:t xml:space="preserve"> se rozumí zástupci poskytovatele, dotčeného resortu/ů a zástupci řešitele projektu, který komunikuje zejména prostřednictvím ISRB.</w:t>
      </w:r>
    </w:p>
    <w:p w14:paraId="6A09B1C6" w14:textId="77777777" w:rsidR="00D33749" w:rsidRDefault="00D33749">
      <w:pPr>
        <w:spacing w:before="0"/>
        <w:ind w:left="426"/>
        <w:jc w:val="left"/>
      </w:pPr>
    </w:p>
    <w:p w14:paraId="10F5E1E8" w14:textId="77777777" w:rsidR="00D33749" w:rsidRDefault="00821027">
      <w:pPr>
        <w:spacing w:before="0"/>
        <w:ind w:left="426"/>
        <w:jc w:val="left"/>
      </w:pPr>
      <w:r>
        <w:rPr>
          <w:b/>
        </w:rPr>
        <w:t>„Konečný uživatel“</w:t>
      </w:r>
      <w:r>
        <w:t xml:space="preserve"> je zástupce orgánu státní správy, který je uživatelem výsledků projektu, je součástí projektového týmu, připravuje návrh implementace výsledků a odpovídá za implementaci výsledků, přičemž je oprávněn věcně usměrňovat dohodnutý způsob řešení v rámci stanovených smluvních podmínek a předběžně přebírat výsledek projektu. </w:t>
      </w:r>
    </w:p>
    <w:p w14:paraId="43E8471D" w14:textId="77777777" w:rsidR="00D33749" w:rsidRDefault="00D33749">
      <w:pPr>
        <w:spacing w:before="0"/>
        <w:ind w:left="426"/>
        <w:jc w:val="left"/>
      </w:pPr>
    </w:p>
    <w:p w14:paraId="40FD0877" w14:textId="77777777" w:rsidR="00D33749" w:rsidRDefault="00821027">
      <w:pPr>
        <w:spacing w:before="0"/>
        <w:ind w:left="426"/>
        <w:jc w:val="left"/>
      </w:pPr>
      <w:r>
        <w:rPr>
          <w:b/>
        </w:rPr>
        <w:t>„Role“</w:t>
      </w:r>
      <w:r>
        <w:t xml:space="preserve"> – označení činností v nabídce, které bude realizovat fyzická osoba  účastnící se řešení projektu mimo projektový tým</w:t>
      </w:r>
    </w:p>
    <w:p w14:paraId="463A8A68" w14:textId="77777777" w:rsidR="00D33749" w:rsidRDefault="00D33749">
      <w:pPr>
        <w:spacing w:before="0"/>
        <w:ind w:left="426"/>
        <w:jc w:val="left"/>
      </w:pPr>
    </w:p>
    <w:p w14:paraId="4EDC9511" w14:textId="77777777" w:rsidR="00D33749" w:rsidRDefault="00821027">
      <w:pPr>
        <w:spacing w:before="0"/>
        <w:ind w:left="426"/>
        <w:jc w:val="left"/>
      </w:pPr>
      <w:r>
        <w:rPr>
          <w:b/>
        </w:rPr>
        <w:t>„Administrátorem řešitelů (ARES)“</w:t>
      </w:r>
      <w:r>
        <w:t xml:space="preserve"> se rozumí osoba odpovědná za provádění úkonů prostřednictvím ISRB a komunikaci s poskytovatelem jako kontaktní osoba.</w:t>
      </w:r>
    </w:p>
    <w:p w14:paraId="7F4F8C7B" w14:textId="77777777" w:rsidR="00D33749" w:rsidRDefault="00D33749">
      <w:pPr>
        <w:spacing w:before="0"/>
        <w:ind w:left="426"/>
        <w:jc w:val="left"/>
      </w:pPr>
    </w:p>
    <w:p w14:paraId="29CD4CB0" w14:textId="77777777" w:rsidR="00D33749" w:rsidRDefault="00821027">
      <w:pPr>
        <w:spacing w:before="0"/>
        <w:ind w:left="286"/>
        <w:jc w:val="left"/>
      </w:pPr>
      <w:r>
        <w:rPr>
          <w:b/>
        </w:rPr>
        <w:t>„Resortem“</w:t>
      </w:r>
      <w:r>
        <w:t xml:space="preserve"> – účastník Programu BETA2, zpravidla orgán státní správy, který má v programu určenou alokaci pro řešení svých výzkumných potřeb. Za resort jedná zástupce odborného gestora (ZOG), který určuje jednotlivé konečné uživatele. </w:t>
      </w:r>
    </w:p>
    <w:p w14:paraId="4403B51C" w14:textId="77777777" w:rsidR="00D33749" w:rsidRDefault="00D33749">
      <w:pPr>
        <w:spacing w:before="0"/>
        <w:ind w:left="286"/>
        <w:jc w:val="left"/>
      </w:pPr>
    </w:p>
    <w:p w14:paraId="5D47BD59" w14:textId="77777777" w:rsidR="00D33749" w:rsidRDefault="00821027">
      <w:pPr>
        <w:spacing w:before="0"/>
        <w:ind w:left="286"/>
        <w:jc w:val="left"/>
      </w:pPr>
      <w:r>
        <w:rPr>
          <w:b/>
        </w:rPr>
        <w:t>„Využitím výsledků”</w:t>
      </w:r>
      <w:r>
        <w:t xml:space="preserve"> přímé nebo nepřímé použití definovaného výsledku při činnosti resortu.</w:t>
      </w:r>
    </w:p>
    <w:p w14:paraId="2437F8CB" w14:textId="77777777" w:rsidR="00D33749" w:rsidRDefault="00D33749">
      <w:pPr>
        <w:spacing w:before="0"/>
        <w:ind w:left="286"/>
        <w:jc w:val="left"/>
      </w:pPr>
    </w:p>
    <w:p w14:paraId="12504815" w14:textId="77777777" w:rsidR="00D33749" w:rsidRDefault="00821027">
      <w:pPr>
        <w:spacing w:before="0"/>
        <w:jc w:val="left"/>
      </w:pPr>
      <w:r>
        <w:t xml:space="preserve">Pojem </w:t>
      </w:r>
      <w:r>
        <w:rPr>
          <w:b/>
        </w:rPr>
        <w:t>„Veřejná zakázka ve výzkumu, vývoji a inovacích”</w:t>
      </w:r>
      <w:r>
        <w:t xml:space="preserve"> dle čl. 2 odst. 1 písm. aa) Všeobecných podmínek se nahrazuje tímto pojmem: </w:t>
      </w:r>
    </w:p>
    <w:p w14:paraId="2CEA1A48" w14:textId="77777777" w:rsidR="00D33749" w:rsidRDefault="00D33749">
      <w:pPr>
        <w:spacing w:before="0"/>
        <w:jc w:val="left"/>
      </w:pPr>
    </w:p>
    <w:p w14:paraId="2BFF0F07" w14:textId="77777777" w:rsidR="00D33749" w:rsidRDefault="00821027">
      <w:pPr>
        <w:spacing w:before="0"/>
        <w:ind w:left="426"/>
        <w:jc w:val="left"/>
      </w:pPr>
      <w:r>
        <w:rPr>
          <w:b/>
        </w:rPr>
        <w:t>„Zadávacím řízením“</w:t>
      </w:r>
      <w:r>
        <w:t xml:space="preserve"> se rozumí postup předpokládaný §2 odst. 2 písm. e) ZPVV před podpisem Smlouvy nebo vydáním Rozhodnutí,  jako některý typ zadávacího řízení dle ZZVZ, který vede k  výběru vhodného řešení projektu.</w:t>
      </w:r>
    </w:p>
    <w:p w14:paraId="72F05555" w14:textId="77777777" w:rsidR="00D33749" w:rsidRDefault="00821027">
      <w:pPr>
        <w:ind w:left="425"/>
      </w:pPr>
      <w:r>
        <w:t xml:space="preserve">Ustanovení všeobecných podmínek, která odkazují k pojmu </w:t>
      </w:r>
      <w:r>
        <w:rPr>
          <w:b/>
        </w:rPr>
        <w:t>„Veřejná zakázka ve výzkumu,  vývoji a inovacích”</w:t>
      </w:r>
      <w:r>
        <w:t xml:space="preserve"> se pro potřeby této smlouvy vztahují k pojmu </w:t>
      </w:r>
      <w:r>
        <w:rPr>
          <w:b/>
        </w:rPr>
        <w:t>„Zadávací řízení”</w:t>
      </w:r>
      <w:r>
        <w:t>.</w:t>
      </w:r>
    </w:p>
    <w:p w14:paraId="09069D43" w14:textId="77777777" w:rsidR="00D33749" w:rsidRDefault="00821027">
      <w:r>
        <w:t xml:space="preserve">Definice </w:t>
      </w:r>
      <w:r>
        <w:rPr>
          <w:b/>
        </w:rPr>
        <w:t>„Projektu”</w:t>
      </w:r>
      <w:r>
        <w:t xml:space="preserve"> dle čl. 2 odst. odst. 2 písm. p) Všeobecných podmínek se mění takto:</w:t>
      </w:r>
    </w:p>
    <w:p w14:paraId="5DCBBEB9" w14:textId="77777777" w:rsidR="00D33749" w:rsidRDefault="00821027">
      <w:pPr>
        <w:ind w:left="426"/>
      </w:pPr>
      <w:r>
        <w:rPr>
          <w:b/>
        </w:rPr>
        <w:t>„Projektem”</w:t>
      </w:r>
      <w:r>
        <w:t xml:space="preserve"> projekt ve smyslu § 2 odst. 2 písm. g) ZPVV. Formulace projektu poskytovatelem probíhá v rámci zadávacího řízení dle ZZVZ. Projekt vychází z výzkumných potřeb promítnutých v projektovém rámci, který je součástí zadávací dokumentace veřejné zakázky.</w:t>
      </w:r>
    </w:p>
    <w:p w14:paraId="6C609F90" w14:textId="77777777" w:rsidR="00D33749" w:rsidRDefault="00821027">
      <w:r>
        <w:t xml:space="preserve">Definice </w:t>
      </w:r>
      <w:r>
        <w:rPr>
          <w:b/>
        </w:rPr>
        <w:t>„Řešitele”</w:t>
      </w:r>
      <w:r>
        <w:t xml:space="preserve"> dle čl. 2 odst. odst. 2 písm. u) Všeobecných podmínek se mění takto:</w:t>
      </w:r>
    </w:p>
    <w:p w14:paraId="51D647C7" w14:textId="77777777" w:rsidR="00D33749" w:rsidRDefault="00821027">
      <w:pPr>
        <w:spacing w:before="0"/>
        <w:ind w:left="426"/>
        <w:jc w:val="left"/>
      </w:pPr>
      <w:r>
        <w:rPr>
          <w:b/>
        </w:rPr>
        <w:t>„Řešitelem”</w:t>
      </w:r>
      <w:r>
        <w:t xml:space="preserve"> fyzická osoba odpovědná příjemci za odbornou úroveň projektu, uvedená jmenovitě v nabídce v rámci výzkumného týmu. </w:t>
      </w:r>
    </w:p>
    <w:p w14:paraId="248C8FDC" w14:textId="77777777" w:rsidR="00D33749" w:rsidRDefault="00D33749">
      <w:pPr>
        <w:spacing w:before="0"/>
        <w:ind w:left="426"/>
        <w:jc w:val="left"/>
      </w:pPr>
    </w:p>
    <w:p w14:paraId="3F77BA59" w14:textId="77777777" w:rsidR="00D33749" w:rsidRDefault="00821027">
      <w:pPr>
        <w:numPr>
          <w:ilvl w:val="0"/>
          <w:numId w:val="7"/>
        </w:numPr>
        <w:ind w:left="425" w:hanging="425"/>
        <w:contextualSpacing/>
      </w:pPr>
      <w:r>
        <w:t>Nad rámec Všeobecných podmínek se stanovuje hlavnímu příjemci povinnost komunikovat a činit veškeré úkony a poskytovat součinnost  poskytovateli výhradně prostřednictvím Informačního systému BETA, není-li pro takový úkon zákonem stanovená jiná forma.</w:t>
      </w:r>
    </w:p>
    <w:p w14:paraId="6F34B07C" w14:textId="77777777" w:rsidR="00D33749" w:rsidRDefault="00821027">
      <w:pPr>
        <w:numPr>
          <w:ilvl w:val="0"/>
          <w:numId w:val="7"/>
        </w:numPr>
        <w:ind w:left="426" w:hanging="430"/>
        <w:contextualSpacing/>
      </w:pPr>
      <w:r>
        <w:t>Poskytovatel se zavazuje poskytnout podporu tak, že zahájí poskytování podpory do 60 dnů od účinnosti smlouvy, v následujících letech řešení projektu do 60 dnů od začátku kalendářního roku, ve výši 100 Kč. Dále se poskytovatel zavazuje poskytovat zbývající podporu zpětně za každou etapu řešení projektu a to na základě monitorovací zprávy či závěrečné zprávy s finanční částí obsahující žádost o platbu a to nejpozději do 30 dnů od jejího schválení. Podpora ve výši 100 Kč bude vždy součástí vyúčtování v dané etapě řešení projektu, pro kterou byla poskytnuta.</w:t>
      </w:r>
    </w:p>
    <w:p w14:paraId="5363822D" w14:textId="77777777" w:rsidR="00D33749" w:rsidRDefault="00821027">
      <w:pPr>
        <w:numPr>
          <w:ilvl w:val="0"/>
          <w:numId w:val="7"/>
        </w:numPr>
        <w:spacing w:before="0"/>
        <w:ind w:hanging="363"/>
        <w:contextualSpacing/>
      </w:pPr>
      <w:r>
        <w:t>Ustanovení Všeobecných podmínek vztahující se k nakládání s nevyčerpanou částí podpory se vzhledem ke způsobu proplácení využijí výhradně pro případy nevyčerpání částky 100 Kč poskytnuté předem.</w:t>
      </w:r>
    </w:p>
    <w:p w14:paraId="2B85DF60" w14:textId="77777777" w:rsidR="00D33749" w:rsidRDefault="00821027">
      <w:pPr>
        <w:numPr>
          <w:ilvl w:val="0"/>
          <w:numId w:val="7"/>
        </w:numPr>
        <w:spacing w:before="0" w:line="240" w:lineRule="auto"/>
        <w:ind w:hanging="353"/>
        <w:jc w:val="left"/>
      </w:pPr>
      <w:r>
        <w:lastRenderedPageBreak/>
        <w:t>Článek 6 odst. 2 písm. a) Všeobecných podmínek se nepoužije.</w:t>
      </w:r>
    </w:p>
    <w:p w14:paraId="49D73659" w14:textId="77777777" w:rsidR="00D33749" w:rsidRDefault="00821027">
      <w:pPr>
        <w:numPr>
          <w:ilvl w:val="0"/>
          <w:numId w:val="7"/>
        </w:numPr>
        <w:spacing w:before="0" w:line="240" w:lineRule="auto"/>
        <w:ind w:hanging="218"/>
        <w:jc w:val="left"/>
      </w:pPr>
      <w:r>
        <w:t>Článek 8 odst. 1 písm. a) Všeobecných podmínek se nepoužije.</w:t>
      </w:r>
    </w:p>
    <w:p w14:paraId="604CD151" w14:textId="77777777" w:rsidR="00D33749" w:rsidRDefault="00821027">
      <w:pPr>
        <w:numPr>
          <w:ilvl w:val="0"/>
          <w:numId w:val="7"/>
        </w:numPr>
        <w:spacing w:before="0" w:line="240" w:lineRule="auto"/>
        <w:ind w:hanging="218"/>
        <w:jc w:val="left"/>
      </w:pPr>
      <w:r>
        <w:t>Článek 9 Všeobecných podmínek „Příjmy z projektů“ se nepoužije.</w:t>
      </w:r>
    </w:p>
    <w:p w14:paraId="7E06FA39" w14:textId="77777777" w:rsidR="00D33749" w:rsidRDefault="00D33749">
      <w:pPr>
        <w:spacing w:before="0"/>
        <w:rPr>
          <w:highlight w:val="yellow"/>
        </w:rPr>
      </w:pPr>
    </w:p>
    <w:p w14:paraId="6CBA48D3" w14:textId="77777777" w:rsidR="00D33749" w:rsidRDefault="00821027">
      <w:pPr>
        <w:numPr>
          <w:ilvl w:val="0"/>
          <w:numId w:val="7"/>
        </w:numPr>
        <w:spacing w:before="0"/>
        <w:ind w:left="711" w:hanging="570"/>
        <w:contextualSpacing/>
      </w:pPr>
      <w:r>
        <w:t>Článek 11 Všeobecných podmínek „Předkládání zpráv“ se mění takto:</w:t>
      </w:r>
    </w:p>
    <w:p w14:paraId="4188CB0D" w14:textId="77777777" w:rsidR="00D33749" w:rsidRDefault="00821027">
      <w:pPr>
        <w:spacing w:line="240" w:lineRule="auto"/>
        <w:ind w:left="1131" w:hanging="420"/>
        <w:jc w:val="left"/>
        <w:rPr>
          <w:b/>
        </w:rPr>
      </w:pPr>
      <w:r>
        <w:rPr>
          <w:rFonts w:ascii="Times New Roman" w:eastAsia="Times New Roman" w:hAnsi="Times New Roman" w:cs="Times New Roman"/>
        </w:rPr>
        <w:t xml:space="preserve">„1. </w:t>
      </w:r>
      <w:r>
        <w:t>Hlavní příjemce předkládá v průběhu řešení projektu a po jeho skončení tyto zprávy:.</w:t>
      </w:r>
    </w:p>
    <w:p w14:paraId="37E28A10" w14:textId="77777777" w:rsidR="00D33749" w:rsidRDefault="00821027">
      <w:pPr>
        <w:numPr>
          <w:ilvl w:val="0"/>
          <w:numId w:val="3"/>
        </w:numPr>
        <w:spacing w:before="0" w:line="240" w:lineRule="auto"/>
        <w:ind w:left="1131" w:hanging="420"/>
        <w:jc w:val="left"/>
      </w:pPr>
      <w:r>
        <w:t>Informace o průběhu řešení nebo Informace o průběhu řešení v rámci kontrolního dne – dle harmonogramu projektu, zpravidla každý měsíc, vyznačí hlavní příjemce v ISRB, zda je projekt řešen, kterými členy řešitelského týmu je řešen a uvede stručný popis postupu řešené činnosti. Stručně uvede, co je řešeno a v jakém stavu se řešení nachází. Tato zpráva může být součástí dohodnutého kontrolního dne na místě, v tom případě bude bezodkladně  následně předána či vytvořena jako zápis a vložena do ISRB v místě kontrolního dne. Přesné datum pro kontrolní den je uvedeno v ISRB u harmonogramu daného kvartálu, a to  vždy na začátku daného kvartálu. Nejméně jeden kvartál předem jako plán, a měsíc předem jako konkrétní datum. U adhoc kontrolních dnů (tj. mimo plánovaný monitoring) pak 5 pracovních dnů předem</w:t>
      </w:r>
    </w:p>
    <w:p w14:paraId="08D76793" w14:textId="77777777" w:rsidR="00D33749" w:rsidRDefault="00821027">
      <w:pPr>
        <w:numPr>
          <w:ilvl w:val="0"/>
          <w:numId w:val="3"/>
        </w:numPr>
        <w:spacing w:before="0" w:line="240" w:lineRule="auto"/>
        <w:ind w:left="1131" w:hanging="420"/>
        <w:jc w:val="left"/>
      </w:pPr>
      <w:r>
        <w:t>Monitorovací zprávu s finanční částí obsahující žádost o platbu – ke konci  nastaveného období je spuštěna monitorovací zpráva, kde hlavní příjemce vyznačí dosažení stavu dle závazných parametrů řešení projektu, navrhne k proplacení tu část podpory, která je s daným obdobím  spojená, potvrdí skutečný rozsah činností, vyčíslí je a požádá o platbu. K žádosti musí přiložit výpis z účetní evidence hlavního a vedlejšího účastníka se zaúčtovanými náklady, včetně zaúčtovaných položek uplatněné režie. Pokud řešení projektu odpovídá postupu dle závazných parametrů, je  žádost o platbu posouzena ohledně uznatelnosti nákladů a jejich účelného vynaložení a může být uhrazena až do výše 100% předpokládaných projektovaných nákladů s dodržením poměru režie. Na žádost ARES, lze projektovou režii proplatit až v posledním období daného roku ,</w:t>
      </w:r>
    </w:p>
    <w:p w14:paraId="4AAD2B1F" w14:textId="77777777" w:rsidR="00D33749" w:rsidRDefault="00821027">
      <w:pPr>
        <w:numPr>
          <w:ilvl w:val="0"/>
          <w:numId w:val="3"/>
        </w:numPr>
        <w:spacing w:before="0" w:line="240" w:lineRule="auto"/>
        <w:ind w:left="1131" w:hanging="420"/>
        <w:jc w:val="left"/>
      </w:pPr>
      <w:r>
        <w:t>Závěrečnou zprávu o řešení projektu obsahující žádost o platbu - v posledním období hlavní příjemce analogicky provede shodně s písm. b).</w:t>
      </w:r>
    </w:p>
    <w:p w14:paraId="705C315B" w14:textId="77777777" w:rsidR="00D33749" w:rsidRDefault="00821027">
      <w:pPr>
        <w:numPr>
          <w:ilvl w:val="0"/>
          <w:numId w:val="3"/>
        </w:numPr>
        <w:spacing w:before="0" w:line="240" w:lineRule="auto"/>
        <w:ind w:left="1131" w:hanging="420"/>
        <w:jc w:val="left"/>
      </w:pPr>
      <w:r>
        <w:t xml:space="preserve">Mimořádnou monitorovací zprávu – na žádost poskytovatele zpracuje hlavní příjemce mimořádnou monitorovací zprávu, a to vždy podle nastaveného typu monitoringu </w:t>
      </w:r>
    </w:p>
    <w:p w14:paraId="1BDE5BE2" w14:textId="77777777" w:rsidR="00D33749" w:rsidRDefault="00821027">
      <w:pPr>
        <w:spacing w:before="0" w:line="240" w:lineRule="auto"/>
        <w:ind w:left="1131" w:hanging="420"/>
        <w:jc w:val="left"/>
      </w:pPr>
      <w:r>
        <w:t>2. Zpráva se považuje za předloženou, pokud je předána poskytovateli prostřednictvím ISRB administrátorem řešitelů (ARES) jako osobou zmocněnou.”</w:t>
      </w:r>
    </w:p>
    <w:p w14:paraId="3C77AF44" w14:textId="77777777" w:rsidR="00D33749" w:rsidRDefault="00821027">
      <w:pPr>
        <w:numPr>
          <w:ilvl w:val="0"/>
          <w:numId w:val="4"/>
        </w:numPr>
        <w:spacing w:before="0" w:line="240" w:lineRule="auto"/>
        <w:ind w:left="425" w:hanging="425"/>
        <w:jc w:val="left"/>
      </w:pPr>
      <w:r>
        <w:t>Článek 13 Všeobecných podmínek „Implementační plán výsledků projektu a Smlouva o využití výsledků“ se nepoužije.</w:t>
      </w:r>
    </w:p>
    <w:p w14:paraId="568B8617" w14:textId="77777777" w:rsidR="00D33749" w:rsidRDefault="00821027">
      <w:pPr>
        <w:numPr>
          <w:ilvl w:val="0"/>
          <w:numId w:val="4"/>
        </w:numPr>
        <w:spacing w:before="0" w:line="240" w:lineRule="auto"/>
        <w:ind w:left="425" w:hanging="425"/>
        <w:jc w:val="left"/>
      </w:pPr>
      <w:r>
        <w:t>V čl.17 odst. 3 se věta poslední neuplatní, v rámci programu BETA tedy není způsobilým osobním nákladem odměna za činnost při řešení projektu osoby samostatně výdělečně činné ani osob v tomto režimu analogicky působícím.</w:t>
      </w:r>
    </w:p>
    <w:p w14:paraId="41A3F7A6" w14:textId="77777777" w:rsidR="00D33749" w:rsidRDefault="00821027">
      <w:pPr>
        <w:numPr>
          <w:ilvl w:val="0"/>
          <w:numId w:val="4"/>
        </w:numPr>
        <w:spacing w:before="0" w:line="240" w:lineRule="auto"/>
        <w:ind w:left="425" w:hanging="425"/>
        <w:jc w:val="left"/>
      </w:pPr>
      <w:r>
        <w:rPr>
          <w:rFonts w:ascii="Times New Roman" w:eastAsia="Times New Roman" w:hAnsi="Times New Roman" w:cs="Times New Roman"/>
        </w:rPr>
        <w:t>Článek 17 odst. 4 Všeobecných podmínek  se neuplatní, tedy z poskytnuté podpory není možné hradit investice, nevyplývá-li z návrhu řešení projektu účelné uplatnění jejího účetního odpisu pro dosažení konkrétního výsledku projektu a jsou součástí uznatelných nákladů projektu.</w:t>
      </w:r>
    </w:p>
    <w:p w14:paraId="4A60663C" w14:textId="77777777" w:rsidR="00D33749" w:rsidRDefault="00821027">
      <w:pPr>
        <w:numPr>
          <w:ilvl w:val="0"/>
          <w:numId w:val="4"/>
        </w:numPr>
        <w:spacing w:before="0" w:line="240" w:lineRule="auto"/>
        <w:ind w:left="425" w:hanging="425"/>
        <w:jc w:val="left"/>
      </w:pPr>
      <w:r>
        <w:rPr>
          <w:rFonts w:ascii="Times New Roman" w:eastAsia="Times New Roman" w:hAnsi="Times New Roman" w:cs="Times New Roman"/>
        </w:rPr>
        <w:lastRenderedPageBreak/>
        <w:t>Článek 17 odst. 6 písm. f) Všeobecných podmínek  se neuplatní, tedy z poskytnuté podpory není možné hradit stipendia.</w:t>
      </w:r>
    </w:p>
    <w:p w14:paraId="6F3ED7D9" w14:textId="77777777" w:rsidR="00D33749" w:rsidRDefault="00821027">
      <w:pPr>
        <w:numPr>
          <w:ilvl w:val="0"/>
          <w:numId w:val="4"/>
        </w:numPr>
        <w:spacing w:before="0" w:line="240" w:lineRule="auto"/>
        <w:ind w:left="425" w:hanging="42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Článek 17 odst. 7 písm a) Všeobecných podmínek se nepoužije.</w:t>
      </w:r>
    </w:p>
    <w:p w14:paraId="58EB87AE" w14:textId="77777777" w:rsidR="00D33749" w:rsidRDefault="00821027">
      <w:pPr>
        <w:numPr>
          <w:ilvl w:val="0"/>
          <w:numId w:val="4"/>
        </w:numPr>
        <w:spacing w:before="0" w:line="240" w:lineRule="auto"/>
        <w:ind w:left="425" w:hanging="42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Vykazování nákladů metodou “flat rate” dle čl. 17 odst. 7 písm. b) Všeobecných podmínek je možné do výše určené v závazných parametrech řešení projektu,  v jednotlivých  obdobích pouze do poměrné výše ke způsobilým nákladům každého příjemce a s podmínkou položkového zaúčtování režijních nákladů.</w:t>
      </w:r>
    </w:p>
    <w:p w14:paraId="5EC1151F" w14:textId="77777777" w:rsidR="00D33749" w:rsidRDefault="00821027">
      <w:pPr>
        <w:numPr>
          <w:ilvl w:val="0"/>
          <w:numId w:val="4"/>
        </w:numPr>
        <w:spacing w:before="0" w:line="240" w:lineRule="auto"/>
        <w:ind w:left="425" w:hanging="42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Oproti čl. 17 odst. 6 Všeobecných podmínek nejsou v programu BETA uznatelnými náklady plnění mezi organizačními složkami příjemce (tzv. vnitrofaktury). </w:t>
      </w:r>
    </w:p>
    <w:p w14:paraId="30542A38" w14:textId="77777777" w:rsidR="00D33749" w:rsidRDefault="00821027">
      <w:pPr>
        <w:numPr>
          <w:ilvl w:val="0"/>
          <w:numId w:val="4"/>
        </w:numPr>
        <w:spacing w:before="0" w:line="240" w:lineRule="auto"/>
        <w:ind w:left="425" w:hanging="425"/>
        <w:jc w:val="left"/>
      </w:pPr>
      <w:r>
        <w:t xml:space="preserve">Článek 18 Všeobecných podmínek „Přesun a změna uznaných nákladů projektu a podpory” se nepoužije. </w:t>
      </w:r>
    </w:p>
    <w:p w14:paraId="27E465A9" w14:textId="77777777" w:rsidR="00D33749" w:rsidRDefault="00821027">
      <w:pPr>
        <w:numPr>
          <w:ilvl w:val="0"/>
          <w:numId w:val="4"/>
        </w:numPr>
        <w:spacing w:before="0" w:line="240" w:lineRule="auto"/>
        <w:ind w:left="425" w:hanging="425"/>
        <w:jc w:val="left"/>
      </w:pPr>
      <w:r>
        <w:t>Není-li stanoveno v závazných parametrech jinak, je způsob řešení projektu veřejné zakázky  určen nabídkou řešení ve veřejné zakázce</w:t>
      </w:r>
    </w:p>
    <w:p w14:paraId="001CCA88" w14:textId="77777777" w:rsidR="00D33749" w:rsidRDefault="00821027">
      <w:pPr>
        <w:numPr>
          <w:ilvl w:val="0"/>
          <w:numId w:val="4"/>
        </w:numPr>
        <w:spacing w:before="0" w:line="240" w:lineRule="auto"/>
        <w:ind w:left="425" w:hanging="425"/>
        <w:jc w:val="left"/>
        <w:rPr>
          <w:i/>
        </w:rPr>
      </w:pPr>
      <w:r>
        <w:t>Automatický text.</w:t>
      </w:r>
      <w:r>
        <w:rPr>
          <w:i/>
        </w:rPr>
        <w:t xml:space="preserve"> Prostor pro věcné specifické podmínky řešení  nebo minimálně věta o tom, že bylo upraveno řešení apod.</w:t>
      </w:r>
    </w:p>
    <w:p w14:paraId="6B92777B" w14:textId="77777777" w:rsidR="00D33749" w:rsidRDefault="00D33749">
      <w:pPr>
        <w:ind w:left="425"/>
      </w:pPr>
    </w:p>
    <w:p w14:paraId="6CFE8CBD" w14:textId="77777777" w:rsidR="00D33749" w:rsidRDefault="00821027">
      <w:pPr>
        <w:spacing w:before="360"/>
        <w:jc w:val="center"/>
      </w:pPr>
      <w:r>
        <w:rPr>
          <w:b/>
        </w:rPr>
        <w:t>Článek 5</w:t>
      </w:r>
    </w:p>
    <w:p w14:paraId="7C6A1BD4" w14:textId="77777777" w:rsidR="00D33749" w:rsidRDefault="00821027">
      <w:pPr>
        <w:spacing w:before="360"/>
        <w:jc w:val="center"/>
      </w:pPr>
      <w:bookmarkStart w:id="3" w:name="_3znysh7" w:colFirst="0" w:colLast="0"/>
      <w:bookmarkEnd w:id="3"/>
      <w:r>
        <w:rPr>
          <w:b/>
        </w:rPr>
        <w:t>Závěrečná ustanovení</w:t>
      </w:r>
    </w:p>
    <w:p w14:paraId="0DBA86E2" w14:textId="77777777" w:rsidR="00D33749" w:rsidRDefault="00821027">
      <w:pPr>
        <w:numPr>
          <w:ilvl w:val="0"/>
          <w:numId w:val="6"/>
        </w:numPr>
        <w:ind w:left="425" w:hanging="425"/>
      </w:pPr>
      <w:r>
        <w:t>Smlouva se vyhotovuje ve dvou stejnopisech, z nichž poskytovatel a hlavní příjemce obdrží po jednom stejnopisu. Každý stejnopis má platnost originálu.</w:t>
      </w:r>
    </w:p>
    <w:p w14:paraId="47D5511C" w14:textId="77777777" w:rsidR="00D33749" w:rsidRDefault="00821027">
      <w:pPr>
        <w:numPr>
          <w:ilvl w:val="0"/>
          <w:numId w:val="6"/>
        </w:numPr>
        <w:ind w:left="425" w:hanging="425"/>
      </w:pPr>
      <w:r>
        <w:t>Hlavní příjemce prohlašuje a podpisem Smlouvy stvrzuje, že jím uvedené údaje, na jejichž základě je uzavřena, jsou správné, úplné a pravdivé.</w:t>
      </w:r>
    </w:p>
    <w:p w14:paraId="5D95842C" w14:textId="77777777" w:rsidR="00D33749" w:rsidRDefault="00821027">
      <w:pPr>
        <w:numPr>
          <w:ilvl w:val="0"/>
          <w:numId w:val="6"/>
        </w:numPr>
        <w:ind w:left="425" w:hanging="425"/>
      </w:pPr>
      <w:r>
        <w:t>Smlouva nabývá platnosti a účinnosti dnem vložení do registru smluv.</w:t>
      </w:r>
    </w:p>
    <w:p w14:paraId="4BFC867E" w14:textId="77777777" w:rsidR="00D33749" w:rsidRDefault="00821027">
      <w:pPr>
        <w:numPr>
          <w:ilvl w:val="0"/>
          <w:numId w:val="6"/>
        </w:numPr>
        <w:ind w:left="425" w:hanging="425"/>
      </w:pPr>
      <w:r>
        <w:t>Smluvní strany prohlašují, že si Smlouvu včetně jejich příloh přečetly, s jejím obsahem souhlasí, a že byla sepsána na základě jejich pravé a svobodné vůle, prosté omylu, a na důkaz toho připojují své podpisy.</w:t>
      </w:r>
    </w:p>
    <w:p w14:paraId="31C068F0" w14:textId="77777777" w:rsidR="00D33749" w:rsidRDefault="00821027">
      <w:pPr>
        <w:numPr>
          <w:ilvl w:val="0"/>
          <w:numId w:val="6"/>
        </w:numPr>
        <w:ind w:left="425" w:hanging="425"/>
      </w:pPr>
      <w:r>
        <w:t>Smluvní strany souhlasí se zveřejněním znění smlouvy ve smyslu zákona č. 340/2015 Sb., o zvláštních podmínkách účinnosti některých smluv, uveřejňování těchto smluv a o registru smluv (zákon o registru smluv). Zveřejnění ve smyslu tohoto zákona provede poskytovatel.</w:t>
      </w:r>
    </w:p>
    <w:p w14:paraId="3D869EDF" w14:textId="77777777" w:rsidR="00D33749" w:rsidRDefault="00821027">
      <w:pPr>
        <w:numPr>
          <w:ilvl w:val="0"/>
          <w:numId w:val="6"/>
        </w:numPr>
        <w:ind w:left="425" w:hanging="425"/>
      </w:pPr>
      <w:r>
        <w:t xml:space="preserve">Hlavní příjemce zároveň svým podpisem výslovně prohlašuje, že se seznámil se všemi pravidly stanovenými Všeobecnými podmínkami. </w:t>
      </w:r>
    </w:p>
    <w:p w14:paraId="7089A920" w14:textId="77777777" w:rsidR="00D33749" w:rsidRDefault="00D33749">
      <w:pPr>
        <w:tabs>
          <w:tab w:val="left" w:pos="426"/>
        </w:tabs>
        <w:spacing w:line="240" w:lineRule="auto"/>
      </w:pPr>
    </w:p>
    <w:p w14:paraId="6C2A21D7" w14:textId="77777777" w:rsidR="00D33749" w:rsidRDefault="00D33749">
      <w:pPr>
        <w:tabs>
          <w:tab w:val="left" w:pos="426"/>
        </w:tabs>
        <w:spacing w:line="240" w:lineRule="auto"/>
      </w:pPr>
    </w:p>
    <w:p w14:paraId="276120A1" w14:textId="77777777" w:rsidR="00D33749" w:rsidRDefault="00821027">
      <w:pPr>
        <w:tabs>
          <w:tab w:val="left" w:pos="426"/>
        </w:tabs>
        <w:spacing w:line="240" w:lineRule="auto"/>
      </w:pPr>
      <w:r>
        <w:rPr>
          <w:b/>
        </w:rPr>
        <w:lastRenderedPageBreak/>
        <w:t>Podpisy smluvních stran</w:t>
      </w:r>
    </w:p>
    <w:p w14:paraId="542D8D24" w14:textId="77777777" w:rsidR="00D33749" w:rsidRDefault="00D33749">
      <w:pPr>
        <w:spacing w:line="240" w:lineRule="auto"/>
      </w:pPr>
    </w:p>
    <w:tbl>
      <w:tblPr>
        <w:tblStyle w:val="a"/>
        <w:tblW w:w="9639" w:type="dxa"/>
        <w:tblInd w:w="-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D33749" w14:paraId="7A67BBA0" w14:textId="77777777">
        <w:trPr>
          <w:trHeight w:val="560"/>
        </w:trPr>
        <w:tc>
          <w:tcPr>
            <w:tcW w:w="4819" w:type="dxa"/>
          </w:tcPr>
          <w:p w14:paraId="728C70F2" w14:textId="77777777" w:rsidR="00D33749" w:rsidRDefault="00821027">
            <w:pPr>
              <w:spacing w:before="40" w:after="40"/>
            </w:pPr>
            <w:bookmarkStart w:id="4" w:name="2et92p0" w:colFirst="0" w:colLast="0"/>
            <w:bookmarkEnd w:id="4"/>
            <w:r>
              <w:rPr>
                <w:b/>
              </w:rPr>
              <w:t>Poskytovatel:</w:t>
            </w:r>
          </w:p>
        </w:tc>
        <w:tc>
          <w:tcPr>
            <w:tcW w:w="4820" w:type="dxa"/>
          </w:tcPr>
          <w:p w14:paraId="10D5F013" w14:textId="77777777" w:rsidR="00D33749" w:rsidRDefault="00D33749">
            <w:pPr>
              <w:spacing w:before="40" w:after="40"/>
              <w:jc w:val="center"/>
            </w:pPr>
          </w:p>
        </w:tc>
      </w:tr>
      <w:tr w:rsidR="00D33749" w14:paraId="74578F8A" w14:textId="77777777">
        <w:trPr>
          <w:trHeight w:val="560"/>
        </w:trPr>
        <w:tc>
          <w:tcPr>
            <w:tcW w:w="4819" w:type="dxa"/>
          </w:tcPr>
          <w:p w14:paraId="7895E833" w14:textId="77777777" w:rsidR="00D33749" w:rsidRDefault="00821027">
            <w:pPr>
              <w:spacing w:before="40" w:after="40"/>
            </w:pPr>
            <w:r>
              <w:t>V Praze, dne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29F9EF21" w14:textId="77777777" w:rsidR="00D33749" w:rsidRDefault="00D33749">
            <w:pPr>
              <w:spacing w:before="40" w:after="40"/>
              <w:jc w:val="center"/>
            </w:pPr>
          </w:p>
        </w:tc>
      </w:tr>
      <w:tr w:rsidR="00D33749" w14:paraId="47EACC1E" w14:textId="77777777">
        <w:trPr>
          <w:trHeight w:val="560"/>
        </w:trPr>
        <w:tc>
          <w:tcPr>
            <w:tcW w:w="4819" w:type="dxa"/>
          </w:tcPr>
          <w:p w14:paraId="5E2A9712" w14:textId="77777777" w:rsidR="00D33749" w:rsidRDefault="00D33749">
            <w:pPr>
              <w:spacing w:before="40" w:after="40"/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14:paraId="22F263C9" w14:textId="77777777" w:rsidR="00D33749" w:rsidRDefault="00821027">
            <w:pPr>
              <w:spacing w:before="40" w:after="40"/>
              <w:jc w:val="center"/>
            </w:pPr>
            <w:r>
              <w:t>předseda/předsedkyně TA ČR</w:t>
            </w:r>
          </w:p>
        </w:tc>
      </w:tr>
      <w:tr w:rsidR="00D33749" w14:paraId="264A5A2E" w14:textId="77777777">
        <w:trPr>
          <w:trHeight w:val="560"/>
        </w:trPr>
        <w:tc>
          <w:tcPr>
            <w:tcW w:w="4819" w:type="dxa"/>
          </w:tcPr>
          <w:p w14:paraId="15A57A49" w14:textId="77777777" w:rsidR="00D33749" w:rsidRDefault="00D33749">
            <w:pPr>
              <w:spacing w:before="40" w:after="40"/>
            </w:pPr>
          </w:p>
        </w:tc>
        <w:tc>
          <w:tcPr>
            <w:tcW w:w="4820" w:type="dxa"/>
          </w:tcPr>
          <w:p w14:paraId="0850FEC4" w14:textId="77777777" w:rsidR="00D33749" w:rsidRDefault="00D33749">
            <w:pPr>
              <w:spacing w:before="40" w:after="40"/>
              <w:jc w:val="center"/>
            </w:pPr>
          </w:p>
        </w:tc>
      </w:tr>
      <w:tr w:rsidR="00D33749" w14:paraId="2C492B0E" w14:textId="77777777">
        <w:trPr>
          <w:trHeight w:val="560"/>
        </w:trPr>
        <w:tc>
          <w:tcPr>
            <w:tcW w:w="4819" w:type="dxa"/>
          </w:tcPr>
          <w:p w14:paraId="0D725A4D" w14:textId="77777777" w:rsidR="00D33749" w:rsidRDefault="00821027">
            <w:pPr>
              <w:spacing w:before="40" w:after="40"/>
            </w:pPr>
            <w:r>
              <w:rPr>
                <w:b/>
              </w:rPr>
              <w:t>(Hlavní příjemce):</w:t>
            </w:r>
          </w:p>
        </w:tc>
        <w:tc>
          <w:tcPr>
            <w:tcW w:w="4820" w:type="dxa"/>
          </w:tcPr>
          <w:p w14:paraId="76FEE94D" w14:textId="77777777" w:rsidR="00D33749" w:rsidRDefault="00D33749">
            <w:pPr>
              <w:spacing w:before="40" w:after="40"/>
              <w:jc w:val="center"/>
            </w:pPr>
          </w:p>
        </w:tc>
      </w:tr>
      <w:tr w:rsidR="00D33749" w14:paraId="29281454" w14:textId="77777777">
        <w:trPr>
          <w:trHeight w:val="560"/>
        </w:trPr>
        <w:tc>
          <w:tcPr>
            <w:tcW w:w="4819" w:type="dxa"/>
          </w:tcPr>
          <w:p w14:paraId="0E058A23" w14:textId="77777777" w:rsidR="00D33749" w:rsidRDefault="00821027">
            <w:pPr>
              <w:spacing w:before="40" w:after="40"/>
            </w:pPr>
            <w:r>
              <w:t>V XXX, dne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05911039" w14:textId="77777777" w:rsidR="00D33749" w:rsidRDefault="00D33749">
            <w:pPr>
              <w:spacing w:before="40" w:after="40"/>
              <w:jc w:val="center"/>
            </w:pPr>
          </w:p>
        </w:tc>
      </w:tr>
      <w:tr w:rsidR="00D33749" w14:paraId="6238EB25" w14:textId="77777777">
        <w:trPr>
          <w:trHeight w:val="560"/>
        </w:trPr>
        <w:tc>
          <w:tcPr>
            <w:tcW w:w="4819" w:type="dxa"/>
          </w:tcPr>
          <w:p w14:paraId="01A0A825" w14:textId="77777777" w:rsidR="00D33749" w:rsidRDefault="00D33749">
            <w:pPr>
              <w:spacing w:before="40" w:after="40"/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14:paraId="0B5F4DD0" w14:textId="77777777" w:rsidR="00D33749" w:rsidRDefault="00821027">
            <w:pPr>
              <w:spacing w:before="40" w:after="40"/>
              <w:jc w:val="center"/>
            </w:pPr>
            <w:r>
              <w:t>Uveďte hůlkovým písmem osoby,</w:t>
            </w:r>
            <w:r>
              <w:br/>
              <w:t>které podepisují za příjemce</w:t>
            </w:r>
          </w:p>
        </w:tc>
      </w:tr>
    </w:tbl>
    <w:p w14:paraId="3CA1D3D4" w14:textId="77777777" w:rsidR="00D33749" w:rsidRDefault="00D33749">
      <w:pPr>
        <w:spacing w:line="240" w:lineRule="auto"/>
      </w:pPr>
    </w:p>
    <w:sectPr w:rsidR="00D33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A0EC0" w14:textId="77777777" w:rsidR="00370DEE" w:rsidRDefault="00370DEE">
      <w:pPr>
        <w:spacing w:before="0" w:line="240" w:lineRule="auto"/>
      </w:pPr>
      <w:r>
        <w:separator/>
      </w:r>
    </w:p>
  </w:endnote>
  <w:endnote w:type="continuationSeparator" w:id="0">
    <w:p w14:paraId="3710F374" w14:textId="77777777" w:rsidR="00370DEE" w:rsidRDefault="00370D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43C1" w14:textId="77777777" w:rsidR="00D33749" w:rsidRDefault="00D33749">
    <w:pPr>
      <w:tabs>
        <w:tab w:val="center" w:pos="4536"/>
        <w:tab w:val="right" w:pos="9072"/>
      </w:tabs>
      <w:spacing w:before="0" w:after="708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EBCDF" w14:textId="77777777" w:rsidR="00D33749" w:rsidRDefault="00D33749">
    <w:pPr>
      <w:tabs>
        <w:tab w:val="center" w:pos="4536"/>
        <w:tab w:val="right" w:pos="9072"/>
      </w:tabs>
      <w:spacing w:before="0" w:line="240" w:lineRule="auto"/>
      <w:ind w:hanging="278"/>
      <w:jc w:val="right"/>
    </w:pPr>
  </w:p>
  <w:p w14:paraId="191083D1" w14:textId="77777777" w:rsidR="00D33749" w:rsidRDefault="00D33749">
    <w:pPr>
      <w:tabs>
        <w:tab w:val="center" w:pos="4536"/>
        <w:tab w:val="right" w:pos="9072"/>
      </w:tabs>
      <w:spacing w:before="0" w:line="240" w:lineRule="auto"/>
      <w:jc w:val="right"/>
    </w:pPr>
  </w:p>
  <w:p w14:paraId="299DA35F" w14:textId="447B9FE4" w:rsidR="00D33749" w:rsidRDefault="00821027">
    <w:pPr>
      <w:tabs>
        <w:tab w:val="center" w:pos="4536"/>
        <w:tab w:val="right" w:pos="9072"/>
      </w:tabs>
      <w:spacing w:before="0" w:line="240" w:lineRule="auto"/>
      <w:jc w:val="right"/>
    </w:pPr>
    <w:r>
      <w:rPr>
        <w:sz w:val="16"/>
        <w:szCs w:val="16"/>
      </w:rPr>
      <w:t xml:space="preserve">F-052, Verze </w:t>
    </w:r>
    <w:r w:rsidR="00B95723">
      <w:rPr>
        <w:sz w:val="16"/>
        <w:szCs w:val="16"/>
      </w:rPr>
      <w:t>6</w:t>
    </w:r>
    <w:bookmarkStart w:id="5" w:name="_GoBack"/>
    <w:bookmarkEnd w:id="5"/>
  </w:p>
  <w:p w14:paraId="1F914111" w14:textId="77777777" w:rsidR="00D33749" w:rsidRDefault="00821027">
    <w:pPr>
      <w:tabs>
        <w:tab w:val="center" w:pos="4536"/>
        <w:tab w:val="right" w:pos="9072"/>
      </w:tabs>
      <w:spacing w:before="0" w:line="240" w:lineRule="auto"/>
      <w:jc w:val="right"/>
    </w:pPr>
    <w:r>
      <w:rPr>
        <w:sz w:val="16"/>
        <w:szCs w:val="16"/>
      </w:rPr>
      <w:t>Veřejný</w:t>
    </w:r>
  </w:p>
  <w:p w14:paraId="2279DC94" w14:textId="0694C1E8" w:rsidR="00D33749" w:rsidRDefault="00821027">
    <w:pPr>
      <w:tabs>
        <w:tab w:val="center" w:pos="4536"/>
        <w:tab w:val="right" w:pos="9072"/>
      </w:tabs>
      <w:spacing w:before="0" w:after="1388" w:line="240" w:lineRule="auto"/>
      <w:jc w:val="right"/>
    </w:pPr>
    <w:r>
      <w:rPr>
        <w:sz w:val="16"/>
        <w:szCs w:val="16"/>
      </w:rPr>
      <w:t xml:space="preserve">Strana </w:t>
    </w:r>
    <w:r>
      <w:fldChar w:fldCharType="begin"/>
    </w:r>
    <w:r>
      <w:instrText>PAGE</w:instrText>
    </w:r>
    <w:r>
      <w:fldChar w:fldCharType="separate"/>
    </w:r>
    <w:r w:rsidR="00B95723">
      <w:rPr>
        <w:noProof/>
      </w:rPr>
      <w:t>6</w:t>
    </w:r>
    <w:r>
      <w:fldChar w:fldCharType="end"/>
    </w:r>
    <w:r>
      <w:rPr>
        <w:sz w:val="16"/>
        <w:szCs w:val="16"/>
      </w:rPr>
      <w:t>/</w:t>
    </w:r>
    <w:r>
      <w:fldChar w:fldCharType="begin"/>
    </w:r>
    <w:r>
      <w:instrText>NUMPAGES</w:instrText>
    </w:r>
    <w:r>
      <w:fldChar w:fldCharType="separate"/>
    </w:r>
    <w:r w:rsidR="00B95723">
      <w:rPr>
        <w:noProof/>
      </w:rPr>
      <w:t>7</w:t>
    </w:r>
    <w: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2336DBE" wp14:editId="6A05F753">
          <wp:simplePos x="0" y="0"/>
          <wp:positionH relativeFrom="margin">
            <wp:posOffset>-847723</wp:posOffset>
          </wp:positionH>
          <wp:positionV relativeFrom="paragraph">
            <wp:posOffset>171450</wp:posOffset>
          </wp:positionV>
          <wp:extent cx="3600000" cy="831600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CCAB" w14:textId="77777777" w:rsidR="00D33749" w:rsidRDefault="00D33749">
    <w:pPr>
      <w:tabs>
        <w:tab w:val="center" w:pos="4536"/>
        <w:tab w:val="right" w:pos="9072"/>
      </w:tabs>
      <w:spacing w:before="0"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F9FE2" w14:textId="77777777" w:rsidR="00370DEE" w:rsidRDefault="00370DEE">
      <w:pPr>
        <w:spacing w:before="0" w:line="240" w:lineRule="auto"/>
      </w:pPr>
      <w:r>
        <w:separator/>
      </w:r>
    </w:p>
  </w:footnote>
  <w:footnote w:type="continuationSeparator" w:id="0">
    <w:p w14:paraId="37F66898" w14:textId="77777777" w:rsidR="00370DEE" w:rsidRDefault="00370DE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F6D7" w14:textId="77777777" w:rsidR="00D33749" w:rsidRDefault="00D33749">
    <w:pPr>
      <w:tabs>
        <w:tab w:val="center" w:pos="4536"/>
        <w:tab w:val="right" w:pos="9072"/>
      </w:tabs>
      <w:spacing w:before="1814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9530" w14:textId="77777777" w:rsidR="00D33749" w:rsidRDefault="00821027">
    <w:pPr>
      <w:tabs>
        <w:tab w:val="center" w:pos="4536"/>
        <w:tab w:val="right" w:pos="9072"/>
      </w:tabs>
      <w:spacing w:before="1814" w:line="240" w:lineRule="auto"/>
      <w:jc w:val="right"/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1077232F" wp14:editId="13DF9908">
          <wp:simplePos x="0" y="0"/>
          <wp:positionH relativeFrom="margin">
            <wp:posOffset>-720089</wp:posOffset>
          </wp:positionH>
          <wp:positionV relativeFrom="paragraph">
            <wp:posOffset>-1161414</wp:posOffset>
          </wp:positionV>
          <wp:extent cx="1439545" cy="1439545"/>
          <wp:effectExtent l="0" t="0" r="0" b="0"/>
          <wp:wrapTopAndBottom distT="0" dist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6E277B" w14:textId="77777777" w:rsidR="00D33749" w:rsidRDefault="00D33749">
    <w:pPr>
      <w:tabs>
        <w:tab w:val="center" w:pos="4536"/>
        <w:tab w:val="right" w:pos="9072"/>
      </w:tabs>
      <w:spacing w:before="0" w:line="240" w:lineRule="auto"/>
      <w:jc w:val="left"/>
    </w:pPr>
  </w:p>
  <w:p w14:paraId="35ED79BE" w14:textId="77777777" w:rsidR="00D33749" w:rsidRDefault="00D33749">
    <w:pPr>
      <w:tabs>
        <w:tab w:val="center" w:pos="4536"/>
        <w:tab w:val="right" w:pos="9072"/>
      </w:tabs>
      <w:spacing w:before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AD1A" w14:textId="77777777" w:rsidR="00D33749" w:rsidRDefault="00D33749">
    <w:pPr>
      <w:tabs>
        <w:tab w:val="center" w:pos="4536"/>
        <w:tab w:val="right" w:pos="9072"/>
      </w:tabs>
      <w:spacing w:before="1814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4CA9"/>
    <w:multiLevelType w:val="multilevel"/>
    <w:tmpl w:val="6FAECB60"/>
    <w:lvl w:ilvl="0">
      <w:start w:val="1"/>
      <w:numFmt w:val="decimal"/>
      <w:lvlText w:val="%1."/>
      <w:lvlJc w:val="left"/>
      <w:pPr>
        <w:ind w:left="360" w:firstLine="1080"/>
      </w:pPr>
      <w:rPr>
        <w:rFonts w:ascii="Cambria" w:eastAsia="Cambria" w:hAnsi="Cambria" w:cs="Cambria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128E1504"/>
    <w:multiLevelType w:val="multilevel"/>
    <w:tmpl w:val="D8B89504"/>
    <w:lvl w:ilvl="0">
      <w:start w:val="1"/>
      <w:numFmt w:val="decimal"/>
      <w:lvlText w:val="%1."/>
      <w:lvlJc w:val="left"/>
      <w:pPr>
        <w:ind w:left="360" w:firstLine="1080"/>
      </w:pPr>
      <w:rPr>
        <w:rFonts w:ascii="Cambria" w:eastAsia="Cambria" w:hAnsi="Cambria" w:cs="Cambria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62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340" w:firstLine="90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060" w:firstLine="11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780" w:firstLine="14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500" w:firstLine="176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220" w:firstLine="20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940" w:firstLine="235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25450A8C"/>
    <w:multiLevelType w:val="multilevel"/>
    <w:tmpl w:val="AF169134"/>
    <w:lvl w:ilvl="0">
      <w:start w:val="1"/>
      <w:numFmt w:val="decimal"/>
      <w:lvlText w:val="%1."/>
      <w:lvlJc w:val="left"/>
      <w:pPr>
        <w:ind w:left="360" w:firstLine="1080"/>
      </w:pPr>
      <w:rPr>
        <w:rFonts w:ascii="Cambria" w:eastAsia="Cambria" w:hAnsi="Cambria" w:cs="Cambria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5CBB3932"/>
    <w:multiLevelType w:val="multilevel"/>
    <w:tmpl w:val="D25CAF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846FF0"/>
    <w:multiLevelType w:val="multilevel"/>
    <w:tmpl w:val="27240AF6"/>
    <w:lvl w:ilvl="0">
      <w:start w:val="1"/>
      <w:numFmt w:val="decimal"/>
      <w:lvlText w:val="%1."/>
      <w:lvlJc w:val="left"/>
      <w:pPr>
        <w:ind w:left="360" w:firstLine="1080"/>
      </w:pPr>
      <w:rPr>
        <w:rFonts w:ascii="Cambria" w:eastAsia="Cambria" w:hAnsi="Cambria" w:cs="Cambria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6A760EC1"/>
    <w:multiLevelType w:val="multilevel"/>
    <w:tmpl w:val="7D5A47EC"/>
    <w:lvl w:ilvl="0">
      <w:start w:val="1"/>
      <w:numFmt w:val="decimal"/>
      <w:lvlText w:val="%1."/>
      <w:lvlJc w:val="left"/>
      <w:pPr>
        <w:ind w:left="426" w:firstLine="1278"/>
      </w:pPr>
      <w:rPr>
        <w:rFonts w:ascii="Cambria" w:eastAsia="Cambria" w:hAnsi="Cambria" w:cs="Cambria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726133D4"/>
    <w:multiLevelType w:val="multilevel"/>
    <w:tmpl w:val="F5D0BB4E"/>
    <w:lvl w:ilvl="0">
      <w:start w:val="10"/>
      <w:numFmt w:val="decimal"/>
      <w:lvlText w:val="%1."/>
      <w:lvlJc w:val="left"/>
      <w:pPr>
        <w:ind w:left="0" w:firstLine="1278"/>
      </w:pPr>
      <w:rPr>
        <w:rFonts w:ascii="Cambria" w:eastAsia="Cambria" w:hAnsi="Cambria" w:cs="Cambria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14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734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454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174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894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14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334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054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749"/>
    <w:rsid w:val="00370DEE"/>
    <w:rsid w:val="00512950"/>
    <w:rsid w:val="00821027"/>
    <w:rsid w:val="00A33A80"/>
    <w:rsid w:val="00B95723"/>
    <w:rsid w:val="00D33749"/>
    <w:rsid w:val="00F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2FAB"/>
  <w15:docId w15:val="{64D42210-F941-4990-9706-174BD758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A8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1844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BETA2</vt:lpstr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BETA2</dc:title>
  <dc:creator>TACR</dc:creator>
  <cp:lastModifiedBy>P Slipek</cp:lastModifiedBy>
  <cp:revision>2</cp:revision>
  <dcterms:created xsi:type="dcterms:W3CDTF">2018-02-27T12:52:00Z</dcterms:created>
  <dcterms:modified xsi:type="dcterms:W3CDTF">2018-02-27T12:52:00Z</dcterms:modified>
</cp:coreProperties>
</file>