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8B" w:rsidRDefault="00D3768B" w:rsidP="008B29B1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="Cambria" w:hAnsi="Cambria"/>
          <w:b/>
          <w:bCs/>
          <w:color w:val="000000"/>
          <w:sz w:val="36"/>
          <w:szCs w:val="36"/>
        </w:rPr>
      </w:pPr>
      <w:r>
        <w:rPr>
          <w:rFonts w:ascii="Cambria" w:hAnsi="Cambria"/>
        </w:rPr>
        <w:t xml:space="preserve">Č.j.: </w:t>
      </w:r>
      <w:r>
        <w:rPr>
          <w:rFonts w:ascii="Cambria" w:hAnsi="Cambria"/>
        </w:rPr>
        <w:t>TACR/1-24/2019</w:t>
      </w:r>
    </w:p>
    <w:p w:rsidR="005F24CA" w:rsidRPr="00B71172" w:rsidRDefault="00B71172" w:rsidP="008B29B1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="Cambria" w:hAnsi="Cambria"/>
          <w:b/>
          <w:sz w:val="36"/>
          <w:szCs w:val="36"/>
        </w:rPr>
      </w:pPr>
      <w:r w:rsidRPr="00B71172">
        <w:rPr>
          <w:rFonts w:ascii="Cambria" w:hAnsi="Cambria"/>
          <w:b/>
          <w:bCs/>
          <w:color w:val="000000"/>
          <w:sz w:val="36"/>
          <w:szCs w:val="36"/>
        </w:rPr>
        <w:t>Závazná osnova představení projektu</w:t>
      </w:r>
    </w:p>
    <w:p w:rsidR="00B71172" w:rsidRDefault="00B71172" w:rsidP="00B71172">
      <w:pPr>
        <w:spacing w:after="0"/>
        <w:jc w:val="both"/>
        <w:rPr>
          <w:rFonts w:ascii="Cambria" w:eastAsia="Times New Roman" w:hAnsi="Cambria" w:cs="Times New Roman"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Dokument obsahující podrobný popis vlastního řešení, který se přikládá k elektronickému návrhu projektu, musí obsahovat všechny následující části, resp. níže požadované informace, které jsou nezbytné pro posouzení žádosti o podporu.</w:t>
      </w:r>
    </w:p>
    <w:p w:rsidR="00B71172" w:rsidRPr="00B71172" w:rsidRDefault="00B71172" w:rsidP="00B71172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B71172" w:rsidRPr="00B71172" w:rsidRDefault="00B71172" w:rsidP="00B71172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Doporučený rozsah tohoto dokumentu je stanoven na max. 30 normostran formátu A4.</w:t>
      </w:r>
    </w:p>
    <w:p w:rsidR="00B71172" w:rsidRDefault="00B71172" w:rsidP="00B71172">
      <w:pPr>
        <w:spacing w:after="0"/>
        <w:jc w:val="both"/>
        <w:rPr>
          <w:rFonts w:ascii="Cambria" w:eastAsia="Times New Roman" w:hAnsi="Cambria" w:cs="Times New Roman"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Tento dokument je možné stáhnout v ISTA v editovatelném formátu.</w:t>
      </w:r>
    </w:p>
    <w:p w:rsidR="00B71172" w:rsidRPr="00B71172" w:rsidRDefault="00B71172" w:rsidP="00B71172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1D40E7" w:rsidRPr="00B71172" w:rsidRDefault="00B71172" w:rsidP="001D40E7">
      <w:pPr>
        <w:numPr>
          <w:ilvl w:val="0"/>
          <w:numId w:val="15"/>
        </w:numPr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  <w:t>Cíle projektu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Cíle projektu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popis cíle/ů projektu uvedených v elektronickém návrhu projektu, včetně jejich zasazení </w:t>
      </w:r>
      <w:r w:rsidR="001D40E7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>do kontextu stávajících výzkumných a podnikatelských aktivit uchazeče-koordinátora, případně dalších účastníků.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Naplnění cílů Programu</w:t>
      </w:r>
    </w:p>
    <w:p w:rsidR="00B71172" w:rsidRPr="00B71172" w:rsidRDefault="00B71172" w:rsidP="00366F84">
      <w:pPr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stručný popis, jak cíle projektu naplňují cíle Programu, především příspěvek ke zvýšení mezinárodní konkurenceschopnosti uchazeče a tematickou vazbu na rozvoj potenciálu v oblasti technologických znalostních domén, resp. aplikačních odvětví Národní RIS3 strategie.</w:t>
      </w:r>
      <w:r w:rsidRPr="00B71172">
        <w:rPr>
          <w:rFonts w:ascii="Cambria" w:eastAsia="Times New Roman" w:hAnsi="Cambria" w:cs="Times New Roman"/>
          <w:color w:val="000000"/>
          <w:lang w:eastAsia="cs-CZ"/>
        </w:rPr>
        <w:br/>
      </w:r>
    </w:p>
    <w:p w:rsidR="00B71172" w:rsidRPr="00B71172" w:rsidRDefault="00B71172" w:rsidP="001D40E7">
      <w:pPr>
        <w:pStyle w:val="Odstavecseseznamem"/>
        <w:numPr>
          <w:ilvl w:val="0"/>
          <w:numId w:val="15"/>
        </w:numPr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  <w:t>Věcná náplň projektu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Současný stav poznání</w:t>
      </w:r>
    </w:p>
    <w:p w:rsidR="00B71172" w:rsidRPr="00B71172" w:rsidRDefault="00B71172" w:rsidP="00366F84">
      <w:pPr>
        <w:pStyle w:val="Odstavecseseznamem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popis aktuálního stavu poznání v dané výzkumné oblasti a dále popis novosti vyvíjeného řešení </w:t>
      </w:r>
      <w:r w:rsidR="001D40E7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>ve smyslu získání nových poznatků.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Obdobné a související projekty, výzkumné záměry a výsledky</w:t>
      </w:r>
    </w:p>
    <w:p w:rsidR="00B71172" w:rsidRPr="00B71172" w:rsidRDefault="00B71172" w:rsidP="00366F84">
      <w:pPr>
        <w:pStyle w:val="Odstavecseseznamem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seznam projektů, se kterými by mohl být návrh projektu duplicitní a vymezení se k těmto možným duplicitám.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Věcná náplň projektu včetně etap řešení projektu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přehledná věcná náplň projektu rozdělená na etapy a na jednotlivé roky řešení s podrobným popisem etap řešení projektu a jejich zajištění účastníky projektu, včetně způsobů (metod) dosažení cílů projektu; činnosti, které zajistí uchazeč-koordinátor ve vlastní režii, ve spolupráci </w:t>
      </w:r>
      <w:r w:rsidR="001D40E7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>s dalšími účastníky projektu, nebo které bude řešit s využitím subdodávek</w:t>
      </w:r>
      <w:r w:rsidRPr="00B71172">
        <w:rPr>
          <w:rFonts w:ascii="Cambria" w:eastAsia="Times New Roman" w:hAnsi="Cambria" w:cs="Times New Roman"/>
          <w:color w:val="000000"/>
          <w:sz w:val="14"/>
          <w:szCs w:val="14"/>
          <w:lang w:eastAsia="cs-CZ"/>
        </w:rPr>
        <w:t xml:space="preserve"> </w:t>
      </w:r>
      <w:r w:rsidRPr="00B71172">
        <w:rPr>
          <w:rFonts w:ascii="Cambria" w:eastAsia="Times New Roman" w:hAnsi="Cambria" w:cs="Times New Roman"/>
          <w:color w:val="000000"/>
          <w:lang w:eastAsia="cs-CZ"/>
        </w:rPr>
        <w:t>od jiných organizací.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Způsobilé náklady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přehledný návrh výše způsobilých nákladů projektu v členění na kategorie nákladů za celý projekt a také v členění na jednotlivé účastníky projektu, na průmyslový výzkum </w:t>
      </w:r>
      <w:r w:rsidR="00366F84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lastRenderedPageBreak/>
        <w:t xml:space="preserve">a experimentální vývoj a na jednotlivé roky řešení; uvedeno bude také členění nákladů podle jednotlivých etap projektu; podrobné </w:t>
      </w:r>
      <w:r w:rsidRPr="00B71172">
        <w:rPr>
          <w:rFonts w:ascii="Cambria" w:eastAsia="Times New Roman" w:hAnsi="Cambria" w:cs="Times New Roman"/>
          <w:color w:val="000000"/>
          <w:u w:val="single"/>
          <w:lang w:eastAsia="cs-CZ"/>
        </w:rPr>
        <w:t>zdůvodnění výše a jednotlivých kategorií způsobilých nákladů</w:t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 (náklady, které nebudou zdůvodněné, nemohou být poskytovatelem uznány) musí být uvedeno za každého účastníka tak, že bude zřejmá výše nákladů v kategoriích uvedených </w:t>
      </w:r>
      <w:r w:rsidR="00366F84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ve Všeobecných podmínkách, článku 17, navíc </w:t>
      </w:r>
      <w:r w:rsidRPr="00B71172">
        <w:rPr>
          <w:rFonts w:ascii="Cambria" w:eastAsia="Times New Roman" w:hAnsi="Cambria" w:cs="Times New Roman"/>
          <w:color w:val="000000"/>
          <w:u w:val="single"/>
          <w:lang w:eastAsia="cs-CZ"/>
        </w:rPr>
        <w:t>kategorie “ostatní přímé náklady” musí být rozepsána na podkategorie dle článku 17, bodu 6, písmena a) až e)</w:t>
      </w:r>
      <w:r w:rsidRPr="00B71172">
        <w:rPr>
          <w:rFonts w:ascii="Cambria" w:eastAsia="Times New Roman" w:hAnsi="Cambria" w:cs="Times New Roman"/>
          <w:color w:val="000000"/>
          <w:lang w:eastAsia="cs-CZ"/>
        </w:rPr>
        <w:t>. (</w:t>
      </w:r>
      <w:r w:rsidRPr="00B71172">
        <w:rPr>
          <w:rFonts w:ascii="Cambria" w:eastAsia="Times New Roman" w:hAnsi="Cambria" w:cs="Times New Roman"/>
          <w:i/>
          <w:iCs/>
          <w:color w:val="000000"/>
          <w:lang w:eastAsia="cs-CZ"/>
        </w:rPr>
        <w:t>Pozn. s tím, že na náklady odpovídající písm. c) a d), tj. na běžné opravy a údržbu majetku … a část ročních odpisů DHM/DNHM … lze pohlížet jako na jednu podkategorii bez nutnosti rozlišování těchto dvou součástí.</w:t>
      </w:r>
      <w:r w:rsidRPr="00B71172">
        <w:rPr>
          <w:rFonts w:ascii="Cambria" w:eastAsia="Times New Roman" w:hAnsi="Cambria" w:cs="Times New Roman"/>
          <w:color w:val="000000"/>
          <w:lang w:eastAsia="cs-CZ"/>
        </w:rPr>
        <w:t>)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Účinná spolupráce (pokud je v projektu deklarována)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v případě řešení projektu v účinné spolupráci více subjektů uchazeč uvede, jakým způsobem je naplněna definice účinné spolupráce, zejména jakým způsobem jednotliví účastníci společně stanovili rozsah projektu, jak budou přispívat k jeho realizaci a sdílet jeho rizika a výsledky.</w:t>
      </w:r>
    </w:p>
    <w:p w:rsidR="00B71172" w:rsidRPr="00B71172" w:rsidRDefault="00B71172" w:rsidP="00B71172">
      <w:pPr>
        <w:spacing w:after="120"/>
        <w:ind w:left="144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B71172" w:rsidRPr="00B71172" w:rsidRDefault="00B71172" w:rsidP="001D40E7">
      <w:pPr>
        <w:pStyle w:val="Odstavecseseznamem"/>
        <w:numPr>
          <w:ilvl w:val="0"/>
          <w:numId w:val="15"/>
        </w:numPr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  <w:t>Výsledky a předpokládané přínosy projektu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Uplatnění výsledků v praxi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stručný popis způsobu uplatnění výsledků projektu (kdo, jak, na jakém trhu) ve smyslu provázání uplatnění konkrétních výsledků uvedených v elektronickém návrhu projektu </w:t>
      </w:r>
      <w:r w:rsidR="00366F84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v záložce 5. </w:t>
      </w:r>
      <w:r w:rsidRPr="00B71172">
        <w:rPr>
          <w:rFonts w:ascii="Cambria" w:eastAsia="Times New Roman" w:hAnsi="Cambria" w:cs="Times New Roman"/>
          <w:i/>
          <w:iCs/>
          <w:color w:val="000000"/>
          <w:lang w:eastAsia="cs-CZ"/>
        </w:rPr>
        <w:t>VÝSTUPY/VÝSLEDKY PROJEKTU</w:t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 s potenciálem jejich uplatnění doloženým podrobně samostatnou přílohou (potenciálem uplatnění / analýzou </w:t>
      </w:r>
      <w:proofErr w:type="gramStart"/>
      <w:r w:rsidRPr="00B71172">
        <w:rPr>
          <w:rFonts w:ascii="Cambria" w:eastAsia="Times New Roman" w:hAnsi="Cambria" w:cs="Times New Roman"/>
          <w:color w:val="000000"/>
          <w:lang w:eastAsia="cs-CZ"/>
        </w:rPr>
        <w:t>trhu - příloha</w:t>
      </w:r>
      <w:proofErr w:type="gramEnd"/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 č. 2 Zadávací dokumentace).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Ekonomické přínosy projektu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předpokládané ekonomické přínosy projektu v 1. až 5. roce po ukončení jeho řešení, jak </w:t>
      </w:r>
      <w:r w:rsidR="00366F84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se projeví u uchazeče, u dalších účastníků projektu, popřípadě u všech ostatních uživatelů výsledků projektu; popis přínosů rozvede základní údaje uvedené souhrnně v tabulce Ekonomických přínosů (příloha č. 3 Zadávací dokumentace); pokud je to možné, bude schopnost ekonomicky využít výsledky projektu doložena na příkladu dříve řešených projektů uchazeče </w:t>
      </w:r>
      <w:r w:rsidR="00366F84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v programech poskytovatele (případně v jiných realizovaných projektech výzkumu a vývoje) nebo </w:t>
      </w:r>
      <w:r w:rsidR="001D40E7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>poptávkou / vyjádřením zájmu budoucích odběratelů / uživatelů.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Další přínosy projektu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nepovinné; lze uvést, zda a jakým způsobem projekt přispívá k řešení společenských výzev definovaných na národní nebo evropské úrovni, jaký vliv má projekt na životní prostředí a zdraví lidí, zda výstupy projektu spadají do oblasti sociálních inovací a případně další neekonomické přínosy projektu.</w:t>
      </w:r>
    </w:p>
    <w:p w:rsidR="00B71172" w:rsidRPr="00B71172" w:rsidRDefault="00B71172" w:rsidP="00B71172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366F84" w:rsidRDefault="00366F84" w:rsidP="00366F84">
      <w:pPr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</w:p>
    <w:p w:rsidR="00B71172" w:rsidRPr="00EF14FB" w:rsidRDefault="00B71172" w:rsidP="00EF14FB">
      <w:pPr>
        <w:pStyle w:val="Odstavecseseznamem"/>
        <w:numPr>
          <w:ilvl w:val="0"/>
          <w:numId w:val="15"/>
        </w:numPr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EF14F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  <w:lastRenderedPageBreak/>
        <w:t>Technické a organizační zabezpečení projektu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Technické zabezpečení projektu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technická vybavenost účastníků projektu, včetně laboratorního a přístrojového vybavení, </w:t>
      </w:r>
      <w:r w:rsidR="00366F84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>ve vazbě na výzkumné a vývojové činnosti plánované v projektu.</w:t>
      </w:r>
    </w:p>
    <w:p w:rsidR="00B71172" w:rsidRP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Management projektu</w:t>
      </w:r>
    </w:p>
    <w:p w:rsidR="00B71172" w:rsidRPr="00B71172" w:rsidRDefault="00B71172" w:rsidP="00366F84">
      <w:pPr>
        <w:pStyle w:val="Odstavecseseznamem"/>
        <w:spacing w:after="120"/>
        <w:ind w:left="709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>organizační zajištění projektu s důrazem na koordinaci jednotlivých účastníků projektu.</w:t>
      </w:r>
    </w:p>
    <w:p w:rsidR="00B71172" w:rsidRDefault="00B71172" w:rsidP="00366F84">
      <w:pPr>
        <w:numPr>
          <w:ilvl w:val="1"/>
          <w:numId w:val="15"/>
        </w:numPr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Zkušenosti s aplikací výsledků v</w:t>
      </w:r>
      <w:r>
        <w:rPr>
          <w:rFonts w:ascii="Cambria" w:eastAsia="Times New Roman" w:hAnsi="Cambria" w:cs="Times New Roman"/>
          <w:b/>
          <w:bCs/>
          <w:color w:val="000000"/>
          <w:lang w:eastAsia="cs-CZ"/>
        </w:rPr>
        <w:t> </w:t>
      </w:r>
      <w:r w:rsidRPr="00B71172">
        <w:rPr>
          <w:rFonts w:ascii="Cambria" w:eastAsia="Times New Roman" w:hAnsi="Cambria" w:cs="Times New Roman"/>
          <w:b/>
          <w:bCs/>
          <w:color w:val="000000"/>
          <w:lang w:eastAsia="cs-CZ"/>
        </w:rPr>
        <w:t>praxi</w:t>
      </w:r>
    </w:p>
    <w:p w:rsidR="00B71172" w:rsidRPr="00B71172" w:rsidRDefault="00B71172" w:rsidP="00366F84">
      <w:pPr>
        <w:pStyle w:val="Odstavecseseznamem"/>
        <w:spacing w:after="0"/>
        <w:ind w:left="709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stručný popis úspěšných projektů výzkumu a vývoje v minulosti řešených uchazečem, čímž uchazeč prokáže dosavadní zkušenosti a způsobilost pro realizaci projektu; tuto způsobilost je vhodné vždy prokázat v relevantní oblasti a na tu část projektu, kterou se zavázal realizovat; uchazeč na příkladech ukončených projektů rovněž prokáže způsobilost projekt výzkumu </w:t>
      </w:r>
      <w:r w:rsidR="00BE35A1">
        <w:rPr>
          <w:rFonts w:ascii="Cambria" w:eastAsia="Times New Roman" w:hAnsi="Cambria" w:cs="Times New Roman"/>
          <w:color w:val="000000"/>
          <w:lang w:eastAsia="cs-CZ"/>
        </w:rPr>
        <w:br/>
      </w:r>
      <w:r w:rsidRPr="00B71172">
        <w:rPr>
          <w:rFonts w:ascii="Cambria" w:eastAsia="Times New Roman" w:hAnsi="Cambria" w:cs="Times New Roman"/>
          <w:color w:val="000000"/>
          <w:lang w:eastAsia="cs-CZ"/>
        </w:rPr>
        <w:t xml:space="preserve">a vývoje úspěšně dokončit a využívat jeho výsledky. </w:t>
      </w:r>
    </w:p>
    <w:p w:rsidR="001071ED" w:rsidRPr="00B71172" w:rsidRDefault="001071ED" w:rsidP="00B71172">
      <w:pPr>
        <w:spacing w:before="120" w:after="0"/>
        <w:rPr>
          <w:rFonts w:ascii="Cambria" w:hAnsi="Cambria"/>
        </w:rPr>
      </w:pPr>
    </w:p>
    <w:p w:rsidR="0056676D" w:rsidRPr="00B71172" w:rsidRDefault="001071ED" w:rsidP="001071ED">
      <w:pPr>
        <w:tabs>
          <w:tab w:val="left" w:pos="5308"/>
        </w:tabs>
        <w:rPr>
          <w:rFonts w:ascii="Cambria" w:hAnsi="Cambria"/>
        </w:rPr>
      </w:pPr>
      <w:r w:rsidRPr="00B71172">
        <w:rPr>
          <w:rFonts w:ascii="Cambria" w:hAnsi="Cambria"/>
        </w:rPr>
        <w:tab/>
      </w:r>
    </w:p>
    <w:sectPr w:rsidR="0056676D" w:rsidRPr="00B71172" w:rsidSect="008B29B1">
      <w:headerReference w:type="default" r:id="rId8"/>
      <w:footerReference w:type="default" r:id="rId9"/>
      <w:pgSz w:w="11906" w:h="16838"/>
      <w:pgMar w:top="1134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0EC" w:rsidRDefault="006500EC" w:rsidP="006500EC">
      <w:pPr>
        <w:spacing w:after="0" w:line="240" w:lineRule="auto"/>
      </w:pPr>
      <w:r>
        <w:separator/>
      </w:r>
    </w:p>
  </w:endnote>
  <w:endnote w:type="continuationSeparator" w:id="0">
    <w:p w:rsidR="006500EC" w:rsidRDefault="006500EC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9B1" w:rsidRDefault="008B29B1" w:rsidP="001071ED">
    <w:pPr>
      <w:pStyle w:val="Zpat1"/>
    </w:pPr>
  </w:p>
  <w:p w:rsidR="008B29B1" w:rsidRDefault="008B29B1" w:rsidP="001071ED">
    <w:pPr>
      <w:pStyle w:val="Zpat1"/>
    </w:pPr>
  </w:p>
  <w:p w:rsidR="008B29B1" w:rsidRDefault="008B29B1" w:rsidP="001071ED">
    <w:pPr>
      <w:pStyle w:val="Zpat1"/>
    </w:pPr>
  </w:p>
  <w:p w:rsidR="008B29B1" w:rsidRDefault="008B29B1" w:rsidP="001071ED">
    <w:pPr>
      <w:pStyle w:val="Zpat1"/>
    </w:pPr>
  </w:p>
  <w:p w:rsidR="00012452" w:rsidRPr="001071ED" w:rsidRDefault="008B29B1" w:rsidP="001071ED">
    <w:pPr>
      <w:pStyle w:val="Zpat1"/>
    </w:pPr>
    <w:r>
      <w:t xml:space="preserve">Strana </w:t>
    </w:r>
    <w:r w:rsidR="001071ED" w:rsidRPr="001071ED">
      <w:fldChar w:fldCharType="begin"/>
    </w:r>
    <w:r w:rsidR="001071ED" w:rsidRPr="001071ED">
      <w:instrText xml:space="preserve"> PAGE   \* MERGEFORMAT </w:instrText>
    </w:r>
    <w:r w:rsidR="001071ED" w:rsidRPr="001071ED">
      <w:fldChar w:fldCharType="separate"/>
    </w:r>
    <w:r w:rsidR="00773DCB">
      <w:rPr>
        <w:noProof/>
      </w:rPr>
      <w:t>1</w:t>
    </w:r>
    <w:r w:rsidR="001071ED" w:rsidRPr="001071ED">
      <w:fldChar w:fldCharType="end"/>
    </w:r>
    <w:r w:rsidR="00C1594D" w:rsidRPr="001071ED">
      <w:rPr>
        <w:noProof/>
        <w:lang w:eastAsia="cs-CZ"/>
      </w:rPr>
      <w:drawing>
        <wp:anchor distT="0" distB="0" distL="114300" distR="114300" simplePos="0" relativeHeight="251664384" behindDoc="1" locked="1" layoutInCell="0" allowOverlap="0" wp14:anchorId="38C2C81F" wp14:editId="23841C8A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597275" cy="831215"/>
          <wp:effectExtent l="0" t="0" r="317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506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0EC" w:rsidRDefault="006500EC" w:rsidP="006500EC">
      <w:pPr>
        <w:spacing w:after="0" w:line="240" w:lineRule="auto"/>
      </w:pPr>
      <w:r>
        <w:separator/>
      </w:r>
    </w:p>
  </w:footnote>
  <w:footnote w:type="continuationSeparator" w:id="0">
    <w:p w:rsidR="006500EC" w:rsidRDefault="006500EC" w:rsidP="0065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EC" w:rsidRDefault="000D4E07">
    <w:pPr>
      <w:pStyle w:val="Zhlav"/>
    </w:pPr>
    <w:r>
      <w:rPr>
        <w:noProof/>
        <w:sz w:val="12"/>
        <w:lang w:eastAsia="cs-CZ"/>
      </w:rPr>
      <w:drawing>
        <wp:anchor distT="0" distB="0" distL="114300" distR="114300" simplePos="0" relativeHeight="251666432" behindDoc="1" locked="0" layoutInCell="0" allowOverlap="0" wp14:anchorId="35B041F8" wp14:editId="45DFA95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046" cy="1008000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2046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A8">
      <w:rPr>
        <w:noProof/>
        <w:sz w:val="12"/>
        <w:lang w:eastAsia="cs-CZ"/>
      </w:rPr>
      <w:drawing>
        <wp:anchor distT="0" distB="0" distL="114300" distR="114300" simplePos="0" relativeHeight="251663360" behindDoc="1" locked="1" layoutInCell="0" allowOverlap="0" wp14:anchorId="2E94009B" wp14:editId="7EE7F413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39545" cy="1439545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9D3"/>
    <w:multiLevelType w:val="multilevel"/>
    <w:tmpl w:val="19DEA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97B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B13A10"/>
    <w:multiLevelType w:val="multilevel"/>
    <w:tmpl w:val="4FA6E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C5E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00D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130F1B"/>
    <w:multiLevelType w:val="multilevel"/>
    <w:tmpl w:val="47AAB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34E9"/>
    <w:multiLevelType w:val="multilevel"/>
    <w:tmpl w:val="1EC27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039FC"/>
    <w:multiLevelType w:val="multilevel"/>
    <w:tmpl w:val="91C6D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009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4D2956"/>
    <w:multiLevelType w:val="multilevel"/>
    <w:tmpl w:val="0010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E7F87"/>
    <w:multiLevelType w:val="multilevel"/>
    <w:tmpl w:val="3F96B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859E2"/>
    <w:multiLevelType w:val="multilevel"/>
    <w:tmpl w:val="DA244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B5C46"/>
    <w:multiLevelType w:val="multilevel"/>
    <w:tmpl w:val="7FF0A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9636E"/>
    <w:multiLevelType w:val="multilevel"/>
    <w:tmpl w:val="7F182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80D97"/>
    <w:multiLevelType w:val="multilevel"/>
    <w:tmpl w:val="273EC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74444"/>
    <w:multiLevelType w:val="hybridMultilevel"/>
    <w:tmpl w:val="63BC8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C5AE3"/>
    <w:multiLevelType w:val="multilevel"/>
    <w:tmpl w:val="DD30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A1F93"/>
    <w:multiLevelType w:val="multilevel"/>
    <w:tmpl w:val="F27AB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  <w:lvlOverride w:ilvl="1">
      <w:lvl w:ilvl="1">
        <w:numFmt w:val="decimal"/>
        <w:lvlText w:val="%2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1">
      <w:lvl w:ilvl="1">
        <w:numFmt w:val="decimal"/>
        <w:lvlText w:val="%2."/>
        <w:lvlJc w:val="left"/>
      </w:lvl>
    </w:lvlOverride>
  </w:num>
  <w:num w:numId="5">
    <w:abstractNumId w:val="17"/>
    <w:lvlOverride w:ilvl="1">
      <w:lvl w:ilvl="1">
        <w:numFmt w:val="decimal"/>
        <w:lvlText w:val="%2."/>
        <w:lvlJc w:val="left"/>
      </w:lvl>
    </w:lvlOverride>
  </w:num>
  <w:num w:numId="6">
    <w:abstractNumId w:val="14"/>
    <w:lvlOverride w:ilvl="1">
      <w:lvl w:ilvl="1">
        <w:numFmt w:val="decimal"/>
        <w:lvlText w:val="%2."/>
        <w:lvlJc w:val="left"/>
      </w:lvl>
    </w:lvlOverride>
  </w:num>
  <w:num w:numId="7">
    <w:abstractNumId w:val="12"/>
    <w:lvlOverride w:ilvl="1">
      <w:lvl w:ilvl="1">
        <w:numFmt w:val="decimal"/>
        <w:lvlText w:val="%2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1">
      <w:lvl w:ilvl="1">
        <w:numFmt w:val="decimal"/>
        <w:lvlText w:val="%2."/>
        <w:lvlJc w:val="left"/>
      </w:lvl>
    </w:lvlOverride>
  </w:num>
  <w:num w:numId="10">
    <w:abstractNumId w:val="10"/>
    <w:lvlOverride w:ilvl="1">
      <w:lvl w:ilvl="1">
        <w:numFmt w:val="decimal"/>
        <w:lvlText w:val="%2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1">
      <w:lvl w:ilvl="1">
        <w:numFmt w:val="decimal"/>
        <w:lvlText w:val="%2."/>
        <w:lvlJc w:val="left"/>
      </w:lvl>
    </w:lvlOverride>
  </w:num>
  <w:num w:numId="13">
    <w:abstractNumId w:val="11"/>
    <w:lvlOverride w:ilvl="1">
      <w:lvl w:ilvl="1">
        <w:numFmt w:val="decimal"/>
        <w:lvlText w:val="%2."/>
        <w:lvlJc w:val="left"/>
      </w:lvl>
    </w:lvlOverride>
  </w:num>
  <w:num w:numId="14">
    <w:abstractNumId w:val="15"/>
  </w:num>
  <w:num w:numId="15">
    <w:abstractNumId w:val="3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C"/>
    <w:rsid w:val="000014DE"/>
    <w:rsid w:val="00003DCD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220B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797E"/>
    <w:rsid w:val="000D0758"/>
    <w:rsid w:val="000D4E07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6042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639A9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B3C13"/>
    <w:rsid w:val="001B5181"/>
    <w:rsid w:val="001C4928"/>
    <w:rsid w:val="001C5C9E"/>
    <w:rsid w:val="001D050B"/>
    <w:rsid w:val="001D06BA"/>
    <w:rsid w:val="001D40E7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36F88"/>
    <w:rsid w:val="0035518C"/>
    <w:rsid w:val="00361C40"/>
    <w:rsid w:val="00366F84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7739E"/>
    <w:rsid w:val="004850D8"/>
    <w:rsid w:val="00487605"/>
    <w:rsid w:val="00490889"/>
    <w:rsid w:val="00493AC0"/>
    <w:rsid w:val="004A56C5"/>
    <w:rsid w:val="004B23BC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27378"/>
    <w:rsid w:val="0053056F"/>
    <w:rsid w:val="00530BAF"/>
    <w:rsid w:val="00534BAB"/>
    <w:rsid w:val="005409C9"/>
    <w:rsid w:val="00542844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66E43"/>
    <w:rsid w:val="00770D67"/>
    <w:rsid w:val="00771313"/>
    <w:rsid w:val="00773353"/>
    <w:rsid w:val="007736AF"/>
    <w:rsid w:val="00773CD0"/>
    <w:rsid w:val="00773DCB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249E"/>
    <w:rsid w:val="00887620"/>
    <w:rsid w:val="00891B5F"/>
    <w:rsid w:val="0089391F"/>
    <w:rsid w:val="008975C1"/>
    <w:rsid w:val="008A47C2"/>
    <w:rsid w:val="008A539D"/>
    <w:rsid w:val="008B29B1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70DDF"/>
    <w:rsid w:val="00986A21"/>
    <w:rsid w:val="009904C6"/>
    <w:rsid w:val="009920AF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F3DA9"/>
    <w:rsid w:val="009F5754"/>
    <w:rsid w:val="00A0197F"/>
    <w:rsid w:val="00A05997"/>
    <w:rsid w:val="00A15E3B"/>
    <w:rsid w:val="00A17702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1D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30F23"/>
    <w:rsid w:val="00B335BE"/>
    <w:rsid w:val="00B34287"/>
    <w:rsid w:val="00B43218"/>
    <w:rsid w:val="00B459F4"/>
    <w:rsid w:val="00B47A08"/>
    <w:rsid w:val="00B47F93"/>
    <w:rsid w:val="00B64745"/>
    <w:rsid w:val="00B71172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4014"/>
    <w:rsid w:val="00BC5958"/>
    <w:rsid w:val="00BC6731"/>
    <w:rsid w:val="00BD3E62"/>
    <w:rsid w:val="00BE35A1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45801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6ED"/>
    <w:rsid w:val="00CC5B33"/>
    <w:rsid w:val="00CC5C7F"/>
    <w:rsid w:val="00CC6450"/>
    <w:rsid w:val="00CC768F"/>
    <w:rsid w:val="00CC7C10"/>
    <w:rsid w:val="00CC7D44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10C34"/>
    <w:rsid w:val="00D112C6"/>
    <w:rsid w:val="00D14A79"/>
    <w:rsid w:val="00D14B4B"/>
    <w:rsid w:val="00D159E9"/>
    <w:rsid w:val="00D1709B"/>
    <w:rsid w:val="00D32D86"/>
    <w:rsid w:val="00D33BC6"/>
    <w:rsid w:val="00D372BA"/>
    <w:rsid w:val="00D3768B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6F0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14FB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C31187"/>
  <w15:docId w15:val="{1991418A-0F53-44BA-AE75-9194ED0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7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371A-3029-47FB-8CD9-E41A6F2C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Jiřina Čepičková</cp:lastModifiedBy>
  <cp:revision>12</cp:revision>
  <dcterms:created xsi:type="dcterms:W3CDTF">2019-05-14T08:39:00Z</dcterms:created>
  <dcterms:modified xsi:type="dcterms:W3CDTF">2019-05-15T09:58:00Z</dcterms:modified>
</cp:coreProperties>
</file>